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方正小标宋简体"/>
          <w:color w:val="000000"/>
          <w:sz w:val="44"/>
          <w:szCs w:val="44"/>
        </w:rPr>
      </w:pPr>
      <w:r>
        <w:rPr>
          <w:rFonts w:eastAsia="方正小标宋简体"/>
          <w:color w:val="000000"/>
          <w:sz w:val="44"/>
          <w:szCs w:val="44"/>
        </w:rPr>
        <w:t>广东省2023年普通高等学校招生统一考试</w:t>
      </w:r>
    </w:p>
    <w:p>
      <w:pPr>
        <w:adjustRightInd w:val="0"/>
        <w:snapToGrid w:val="0"/>
        <w:spacing w:line="560" w:lineRule="exact"/>
        <w:jc w:val="center"/>
        <w:rPr>
          <w:rFonts w:eastAsia="方正小标宋简体"/>
          <w:color w:val="000000"/>
          <w:sz w:val="44"/>
          <w:szCs w:val="44"/>
        </w:rPr>
      </w:pPr>
      <w:r>
        <w:rPr>
          <w:rFonts w:eastAsia="方正小标宋简体"/>
          <w:color w:val="000000"/>
          <w:sz w:val="44"/>
          <w:szCs w:val="44"/>
        </w:rPr>
        <w:t>播音与主持术科考试科目和要求</w:t>
      </w:r>
    </w:p>
    <w:p>
      <w:pPr>
        <w:adjustRightInd w:val="0"/>
        <w:snapToGrid w:val="0"/>
        <w:spacing w:line="560" w:lineRule="exact"/>
        <w:ind w:firstLine="560" w:firstLineChars="200"/>
        <w:rPr>
          <w:rFonts w:eastAsia="仿宋_GB2312"/>
          <w:kern w:val="0"/>
          <w:sz w:val="28"/>
          <w:szCs w:val="28"/>
        </w:rPr>
      </w:pPr>
    </w:p>
    <w:p>
      <w:pPr>
        <w:adjustRightInd w:val="0"/>
        <w:snapToGrid w:val="0"/>
        <w:spacing w:line="560" w:lineRule="exact"/>
        <w:ind w:firstLine="640" w:firstLineChars="200"/>
        <w:rPr>
          <w:rFonts w:eastAsia="黑体"/>
          <w:kern w:val="0"/>
          <w:sz w:val="32"/>
          <w:szCs w:val="32"/>
        </w:rPr>
      </w:pPr>
      <w:r>
        <w:rPr>
          <w:rFonts w:eastAsia="黑体"/>
          <w:kern w:val="0"/>
          <w:sz w:val="32"/>
          <w:szCs w:val="32"/>
        </w:rPr>
        <w:t>一、考试性质</w:t>
      </w:r>
    </w:p>
    <w:p>
      <w:pPr>
        <w:adjustRightInd w:val="0"/>
        <w:snapToGrid w:val="0"/>
        <w:spacing w:line="560" w:lineRule="exact"/>
        <w:ind w:firstLine="640" w:firstLineChars="200"/>
        <w:rPr>
          <w:rFonts w:eastAsia="仿宋_GB2312"/>
          <w:sz w:val="32"/>
          <w:szCs w:val="32"/>
        </w:rPr>
      </w:pPr>
      <w:r>
        <w:rPr>
          <w:rFonts w:eastAsia="仿宋_GB2312"/>
          <w:sz w:val="32"/>
          <w:szCs w:val="32"/>
        </w:rPr>
        <w:t>广东省普通高等学校招生统一考试播音与主持术科考试（以下简称播主术科统考），是面向报考全省普通高等学校播音与主持艺术专业（含粤语）的考生组织的专业基础技能测试，是我省普通高考的组成部分，旨在考查考生学习播音与主持艺术专业应具备的基本专业素质和能力，选拔适合进入高等学校接受该专业培养的合格考生。</w:t>
      </w:r>
    </w:p>
    <w:p>
      <w:pPr>
        <w:adjustRightInd w:val="0"/>
        <w:snapToGrid w:val="0"/>
        <w:spacing w:line="560" w:lineRule="exact"/>
        <w:ind w:firstLine="640" w:firstLineChars="200"/>
        <w:rPr>
          <w:rFonts w:eastAsia="黑体"/>
          <w:color w:val="000000"/>
          <w:sz w:val="32"/>
          <w:szCs w:val="32"/>
        </w:rPr>
      </w:pPr>
      <w:r>
        <w:rPr>
          <w:rFonts w:hint="eastAsia" w:eastAsia="黑体"/>
          <w:color w:val="000000"/>
          <w:sz w:val="32"/>
          <w:szCs w:val="32"/>
        </w:rPr>
        <w:t>二、</w:t>
      </w:r>
      <w:r>
        <w:rPr>
          <w:rFonts w:eastAsia="黑体"/>
          <w:color w:val="000000"/>
          <w:sz w:val="32"/>
          <w:szCs w:val="32"/>
        </w:rPr>
        <w:t>考试</w:t>
      </w:r>
      <w:r>
        <w:rPr>
          <w:rFonts w:hint="eastAsia" w:eastAsia="黑体"/>
          <w:color w:val="000000"/>
          <w:sz w:val="32"/>
          <w:szCs w:val="32"/>
        </w:rPr>
        <w:t>科目和</w:t>
      </w:r>
      <w:r>
        <w:rPr>
          <w:rFonts w:eastAsia="黑体"/>
          <w:color w:val="000000"/>
          <w:sz w:val="32"/>
          <w:szCs w:val="32"/>
        </w:rPr>
        <w:t>成绩计算</w:t>
      </w:r>
      <w:r>
        <w:rPr>
          <w:rFonts w:hint="eastAsia" w:eastAsia="黑体"/>
          <w:color w:val="000000"/>
          <w:sz w:val="32"/>
          <w:szCs w:val="32"/>
        </w:rPr>
        <w:t>办法</w:t>
      </w:r>
    </w:p>
    <w:tbl>
      <w:tblPr>
        <w:tblStyle w:val="2"/>
        <w:tblW w:w="8678" w:type="dxa"/>
        <w:jc w:val="center"/>
        <w:tblLayout w:type="fixed"/>
        <w:tblCellMar>
          <w:top w:w="0" w:type="dxa"/>
          <w:left w:w="108" w:type="dxa"/>
          <w:bottom w:w="0" w:type="dxa"/>
          <w:right w:w="108" w:type="dxa"/>
        </w:tblCellMar>
      </w:tblPr>
      <w:tblGrid>
        <w:gridCol w:w="2991"/>
        <w:gridCol w:w="2285"/>
        <w:gridCol w:w="1041"/>
        <w:gridCol w:w="1261"/>
        <w:gridCol w:w="1100"/>
      </w:tblGrid>
      <w:tr>
        <w:tblPrEx>
          <w:tblCellMar>
            <w:top w:w="0" w:type="dxa"/>
            <w:left w:w="108" w:type="dxa"/>
            <w:bottom w:w="0" w:type="dxa"/>
            <w:right w:w="108" w:type="dxa"/>
          </w:tblCellMar>
        </w:tblPrEx>
        <w:trPr>
          <w:trHeight w:val="402" w:hRule="atLeast"/>
          <w:jc w:val="center"/>
        </w:trPr>
        <w:tc>
          <w:tcPr>
            <w:tcW w:w="29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bCs/>
                <w:kern w:val="0"/>
                <w:sz w:val="32"/>
                <w:szCs w:val="32"/>
              </w:rPr>
            </w:pPr>
            <w:r>
              <w:rPr>
                <w:rFonts w:eastAsia="黑体"/>
                <w:bCs/>
                <w:kern w:val="0"/>
                <w:sz w:val="32"/>
                <w:szCs w:val="32"/>
              </w:rPr>
              <w:t>考试科目</w:t>
            </w:r>
          </w:p>
        </w:tc>
        <w:tc>
          <w:tcPr>
            <w:tcW w:w="2285" w:type="dxa"/>
            <w:tcBorders>
              <w:top w:val="single" w:color="auto" w:sz="4" w:space="0"/>
              <w:left w:val="nil"/>
              <w:bottom w:val="single" w:color="auto" w:sz="4" w:space="0"/>
              <w:right w:val="single" w:color="auto" w:sz="4" w:space="0"/>
            </w:tcBorders>
            <w:vAlign w:val="center"/>
          </w:tcPr>
          <w:p>
            <w:pPr>
              <w:widowControl/>
              <w:snapToGrid w:val="0"/>
              <w:jc w:val="center"/>
              <w:rPr>
                <w:rFonts w:eastAsia="黑体"/>
                <w:bCs/>
                <w:kern w:val="0"/>
                <w:sz w:val="32"/>
                <w:szCs w:val="32"/>
              </w:rPr>
            </w:pPr>
            <w:r>
              <w:rPr>
                <w:rFonts w:eastAsia="黑体"/>
                <w:bCs/>
                <w:kern w:val="0"/>
                <w:sz w:val="32"/>
                <w:szCs w:val="32"/>
              </w:rPr>
              <w:t>考试内容</w:t>
            </w:r>
          </w:p>
        </w:tc>
        <w:tc>
          <w:tcPr>
            <w:tcW w:w="2302"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eastAsia="黑体"/>
                <w:bCs/>
                <w:kern w:val="0"/>
                <w:sz w:val="32"/>
                <w:szCs w:val="32"/>
              </w:rPr>
            </w:pPr>
            <w:r>
              <w:rPr>
                <w:rFonts w:eastAsia="黑体"/>
                <w:bCs/>
                <w:kern w:val="0"/>
                <w:sz w:val="32"/>
                <w:szCs w:val="32"/>
              </w:rPr>
              <w:t>考试分值</w:t>
            </w:r>
          </w:p>
        </w:tc>
        <w:tc>
          <w:tcPr>
            <w:tcW w:w="1100" w:type="dxa"/>
            <w:tcBorders>
              <w:top w:val="single" w:color="auto" w:sz="4" w:space="0"/>
              <w:left w:val="nil"/>
              <w:bottom w:val="single" w:color="auto" w:sz="4" w:space="0"/>
              <w:right w:val="single" w:color="auto" w:sz="4" w:space="0"/>
            </w:tcBorders>
            <w:vAlign w:val="center"/>
          </w:tcPr>
          <w:p>
            <w:pPr>
              <w:widowControl/>
              <w:snapToGrid w:val="0"/>
              <w:jc w:val="center"/>
              <w:rPr>
                <w:rFonts w:eastAsia="黑体"/>
                <w:bCs/>
                <w:kern w:val="0"/>
                <w:sz w:val="32"/>
                <w:szCs w:val="32"/>
              </w:rPr>
            </w:pPr>
            <w:r>
              <w:rPr>
                <w:rFonts w:eastAsia="黑体"/>
                <w:bCs/>
                <w:kern w:val="0"/>
                <w:sz w:val="32"/>
                <w:szCs w:val="32"/>
              </w:rPr>
              <w:t>总分</w:t>
            </w:r>
          </w:p>
        </w:tc>
      </w:tr>
      <w:tr>
        <w:tblPrEx>
          <w:tblCellMar>
            <w:top w:w="0" w:type="dxa"/>
            <w:left w:w="108" w:type="dxa"/>
            <w:bottom w:w="0" w:type="dxa"/>
            <w:right w:w="108" w:type="dxa"/>
          </w:tblCellMar>
        </w:tblPrEx>
        <w:trPr>
          <w:trHeight w:val="402" w:hRule="atLeast"/>
          <w:jc w:val="center"/>
        </w:trPr>
        <w:tc>
          <w:tcPr>
            <w:tcW w:w="299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eastAsia="仿宋_GB2312"/>
                <w:color w:val="000000"/>
                <w:kern w:val="0"/>
                <w:sz w:val="32"/>
                <w:szCs w:val="32"/>
              </w:rPr>
            </w:pPr>
            <w:r>
              <w:rPr>
                <w:rFonts w:eastAsia="仿宋_GB2312"/>
                <w:color w:val="000000"/>
                <w:kern w:val="0"/>
                <w:sz w:val="32"/>
                <w:szCs w:val="32"/>
              </w:rPr>
              <w:t>自备文学作品朗诵</w:t>
            </w:r>
          </w:p>
        </w:tc>
        <w:tc>
          <w:tcPr>
            <w:tcW w:w="2285" w:type="dxa"/>
            <w:tcBorders>
              <w:top w:val="nil"/>
              <w:left w:val="nil"/>
              <w:bottom w:val="single" w:color="auto" w:sz="4" w:space="0"/>
              <w:right w:val="single" w:color="auto" w:sz="4" w:space="0"/>
            </w:tcBorders>
            <w:vAlign w:val="center"/>
          </w:tcPr>
          <w:p>
            <w:pPr>
              <w:widowControl/>
              <w:snapToGrid w:val="0"/>
              <w:jc w:val="center"/>
              <w:rPr>
                <w:rFonts w:eastAsia="仿宋_GB2312"/>
                <w:kern w:val="0"/>
                <w:sz w:val="32"/>
                <w:szCs w:val="32"/>
              </w:rPr>
            </w:pPr>
            <w:r>
              <w:rPr>
                <w:rFonts w:eastAsia="仿宋_GB2312"/>
                <w:kern w:val="0"/>
                <w:sz w:val="32"/>
                <w:szCs w:val="32"/>
              </w:rPr>
              <w:t>文学素养及</w:t>
            </w:r>
          </w:p>
          <w:p>
            <w:pPr>
              <w:widowControl/>
              <w:snapToGrid w:val="0"/>
              <w:jc w:val="center"/>
              <w:rPr>
                <w:rFonts w:eastAsia="仿宋_GB2312"/>
                <w:kern w:val="0"/>
                <w:sz w:val="32"/>
                <w:szCs w:val="32"/>
              </w:rPr>
            </w:pPr>
            <w:r>
              <w:rPr>
                <w:rFonts w:eastAsia="仿宋_GB2312"/>
                <w:kern w:val="0"/>
                <w:sz w:val="32"/>
                <w:szCs w:val="32"/>
              </w:rPr>
              <w:t>朗诵能力</w:t>
            </w:r>
          </w:p>
        </w:tc>
        <w:tc>
          <w:tcPr>
            <w:tcW w:w="1041" w:type="dxa"/>
            <w:tcBorders>
              <w:top w:val="nil"/>
              <w:left w:val="nil"/>
              <w:bottom w:val="single" w:color="auto" w:sz="4" w:space="0"/>
              <w:right w:val="single" w:color="auto" w:sz="4" w:space="0"/>
            </w:tcBorders>
            <w:vAlign w:val="center"/>
          </w:tcPr>
          <w:p>
            <w:pPr>
              <w:widowControl/>
              <w:snapToGrid w:val="0"/>
              <w:jc w:val="center"/>
              <w:rPr>
                <w:kern w:val="0"/>
                <w:sz w:val="32"/>
                <w:szCs w:val="32"/>
              </w:rPr>
            </w:pPr>
            <w:r>
              <w:rPr>
                <w:kern w:val="0"/>
                <w:sz w:val="32"/>
                <w:szCs w:val="32"/>
              </w:rPr>
              <w:t>70分</w:t>
            </w:r>
          </w:p>
        </w:tc>
        <w:tc>
          <w:tcPr>
            <w:tcW w:w="1261" w:type="dxa"/>
            <w:vMerge w:val="restart"/>
            <w:tcBorders>
              <w:top w:val="nil"/>
              <w:left w:val="single" w:color="auto" w:sz="4" w:space="0"/>
              <w:bottom w:val="single" w:color="auto" w:sz="4" w:space="0"/>
              <w:right w:val="single" w:color="auto" w:sz="4" w:space="0"/>
            </w:tcBorders>
            <w:vAlign w:val="center"/>
          </w:tcPr>
          <w:p>
            <w:pPr>
              <w:widowControl/>
              <w:snapToGrid w:val="0"/>
              <w:jc w:val="center"/>
              <w:rPr>
                <w:kern w:val="0"/>
                <w:sz w:val="32"/>
                <w:szCs w:val="32"/>
              </w:rPr>
            </w:pPr>
            <w:r>
              <w:rPr>
                <w:kern w:val="0"/>
                <w:sz w:val="32"/>
                <w:szCs w:val="32"/>
              </w:rPr>
              <w:t>100分</w:t>
            </w:r>
          </w:p>
        </w:tc>
        <w:tc>
          <w:tcPr>
            <w:tcW w:w="1100" w:type="dxa"/>
            <w:vMerge w:val="restart"/>
            <w:tcBorders>
              <w:top w:val="nil"/>
              <w:left w:val="single" w:color="auto" w:sz="4" w:space="0"/>
              <w:bottom w:val="single" w:color="auto" w:sz="4" w:space="0"/>
              <w:right w:val="single" w:color="auto" w:sz="4" w:space="0"/>
            </w:tcBorders>
            <w:vAlign w:val="center"/>
          </w:tcPr>
          <w:p>
            <w:pPr>
              <w:widowControl/>
              <w:snapToGrid w:val="0"/>
              <w:jc w:val="center"/>
              <w:rPr>
                <w:kern w:val="0"/>
                <w:sz w:val="32"/>
                <w:szCs w:val="32"/>
              </w:rPr>
            </w:pPr>
            <w:r>
              <w:rPr>
                <w:kern w:val="0"/>
                <w:sz w:val="32"/>
                <w:szCs w:val="32"/>
              </w:rPr>
              <w:t>300分</w:t>
            </w:r>
          </w:p>
        </w:tc>
      </w:tr>
      <w:tr>
        <w:tblPrEx>
          <w:tblCellMar>
            <w:top w:w="0" w:type="dxa"/>
            <w:left w:w="108" w:type="dxa"/>
            <w:bottom w:w="0" w:type="dxa"/>
            <w:right w:w="108" w:type="dxa"/>
          </w:tblCellMar>
        </w:tblPrEx>
        <w:trPr>
          <w:trHeight w:val="402" w:hRule="atLeast"/>
          <w:jc w:val="center"/>
        </w:trPr>
        <w:tc>
          <w:tcPr>
            <w:tcW w:w="299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eastAsia="仿宋_GB2312"/>
                <w:color w:val="000000"/>
                <w:kern w:val="0"/>
                <w:sz w:val="32"/>
                <w:szCs w:val="32"/>
              </w:rPr>
            </w:pPr>
          </w:p>
        </w:tc>
        <w:tc>
          <w:tcPr>
            <w:tcW w:w="2285" w:type="dxa"/>
            <w:tcBorders>
              <w:top w:val="nil"/>
              <w:left w:val="nil"/>
              <w:bottom w:val="single" w:color="auto" w:sz="4" w:space="0"/>
              <w:right w:val="single" w:color="auto" w:sz="4" w:space="0"/>
            </w:tcBorders>
            <w:vAlign w:val="center"/>
          </w:tcPr>
          <w:p>
            <w:pPr>
              <w:widowControl/>
              <w:snapToGrid w:val="0"/>
              <w:jc w:val="center"/>
              <w:rPr>
                <w:rFonts w:eastAsia="仿宋_GB2312"/>
                <w:kern w:val="0"/>
                <w:sz w:val="32"/>
                <w:szCs w:val="32"/>
              </w:rPr>
            </w:pPr>
            <w:r>
              <w:rPr>
                <w:rFonts w:eastAsia="仿宋_GB2312"/>
                <w:kern w:val="0"/>
                <w:sz w:val="32"/>
                <w:szCs w:val="32"/>
              </w:rPr>
              <w:t>形象气质</w:t>
            </w:r>
          </w:p>
        </w:tc>
        <w:tc>
          <w:tcPr>
            <w:tcW w:w="1041" w:type="dxa"/>
            <w:tcBorders>
              <w:top w:val="nil"/>
              <w:left w:val="nil"/>
              <w:bottom w:val="single" w:color="auto" w:sz="4" w:space="0"/>
              <w:right w:val="single" w:color="auto" w:sz="4" w:space="0"/>
            </w:tcBorders>
            <w:vAlign w:val="center"/>
          </w:tcPr>
          <w:p>
            <w:pPr>
              <w:widowControl/>
              <w:snapToGrid w:val="0"/>
              <w:jc w:val="center"/>
              <w:rPr>
                <w:kern w:val="0"/>
                <w:sz w:val="32"/>
                <w:szCs w:val="32"/>
              </w:rPr>
            </w:pPr>
            <w:r>
              <w:rPr>
                <w:kern w:val="0"/>
                <w:sz w:val="32"/>
                <w:szCs w:val="32"/>
              </w:rPr>
              <w:t>30分</w:t>
            </w:r>
          </w:p>
        </w:tc>
        <w:tc>
          <w:tcPr>
            <w:tcW w:w="1261" w:type="dxa"/>
            <w:vMerge w:val="continue"/>
            <w:tcBorders>
              <w:top w:val="nil"/>
              <w:left w:val="single" w:color="auto" w:sz="4" w:space="0"/>
              <w:bottom w:val="single" w:color="auto" w:sz="4" w:space="0"/>
              <w:right w:val="single" w:color="auto" w:sz="4" w:space="0"/>
            </w:tcBorders>
            <w:vAlign w:val="center"/>
          </w:tcPr>
          <w:p>
            <w:pPr>
              <w:widowControl/>
              <w:snapToGrid w:val="0"/>
              <w:jc w:val="left"/>
              <w:rPr>
                <w:kern w:val="0"/>
                <w:sz w:val="32"/>
                <w:szCs w:val="32"/>
              </w:rPr>
            </w:pPr>
          </w:p>
        </w:tc>
        <w:tc>
          <w:tcPr>
            <w:tcW w:w="1100" w:type="dxa"/>
            <w:vMerge w:val="continue"/>
            <w:tcBorders>
              <w:top w:val="nil"/>
              <w:left w:val="single" w:color="auto" w:sz="4" w:space="0"/>
              <w:bottom w:val="single" w:color="auto" w:sz="4" w:space="0"/>
              <w:right w:val="single" w:color="auto" w:sz="4" w:space="0"/>
            </w:tcBorders>
            <w:vAlign w:val="center"/>
          </w:tcPr>
          <w:p>
            <w:pPr>
              <w:widowControl/>
              <w:snapToGrid w:val="0"/>
              <w:jc w:val="left"/>
              <w:rPr>
                <w:kern w:val="0"/>
                <w:sz w:val="32"/>
                <w:szCs w:val="32"/>
              </w:rPr>
            </w:pPr>
          </w:p>
        </w:tc>
      </w:tr>
      <w:tr>
        <w:tblPrEx>
          <w:tblCellMar>
            <w:top w:w="0" w:type="dxa"/>
            <w:left w:w="108" w:type="dxa"/>
            <w:bottom w:w="0" w:type="dxa"/>
            <w:right w:w="108" w:type="dxa"/>
          </w:tblCellMar>
        </w:tblPrEx>
        <w:trPr>
          <w:trHeight w:val="402" w:hRule="atLeast"/>
          <w:jc w:val="center"/>
        </w:trPr>
        <w:tc>
          <w:tcPr>
            <w:tcW w:w="299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eastAsia="仿宋_GB2312"/>
                <w:color w:val="000000"/>
                <w:kern w:val="0"/>
                <w:sz w:val="32"/>
                <w:szCs w:val="32"/>
              </w:rPr>
            </w:pPr>
            <w:r>
              <w:rPr>
                <w:rFonts w:eastAsia="仿宋_GB2312"/>
                <w:color w:val="000000"/>
                <w:kern w:val="0"/>
                <w:sz w:val="32"/>
                <w:szCs w:val="32"/>
              </w:rPr>
              <w:t>指定新闻稿件播报</w:t>
            </w:r>
          </w:p>
        </w:tc>
        <w:tc>
          <w:tcPr>
            <w:tcW w:w="2285" w:type="dxa"/>
            <w:tcBorders>
              <w:top w:val="nil"/>
              <w:left w:val="nil"/>
              <w:bottom w:val="single" w:color="auto" w:sz="4" w:space="0"/>
              <w:right w:val="single" w:color="auto" w:sz="4" w:space="0"/>
            </w:tcBorders>
            <w:vAlign w:val="center"/>
          </w:tcPr>
          <w:p>
            <w:pPr>
              <w:widowControl/>
              <w:snapToGrid w:val="0"/>
              <w:jc w:val="center"/>
              <w:rPr>
                <w:rFonts w:eastAsia="仿宋_GB2312"/>
                <w:kern w:val="0"/>
                <w:sz w:val="32"/>
                <w:szCs w:val="32"/>
              </w:rPr>
            </w:pPr>
            <w:r>
              <w:rPr>
                <w:rFonts w:eastAsia="仿宋_GB2312"/>
                <w:kern w:val="0"/>
                <w:sz w:val="32"/>
                <w:szCs w:val="32"/>
              </w:rPr>
              <w:t>稿件理解及</w:t>
            </w:r>
          </w:p>
          <w:p>
            <w:pPr>
              <w:widowControl/>
              <w:snapToGrid w:val="0"/>
              <w:jc w:val="center"/>
              <w:rPr>
                <w:rFonts w:eastAsia="仿宋_GB2312"/>
                <w:kern w:val="0"/>
                <w:sz w:val="32"/>
                <w:szCs w:val="32"/>
              </w:rPr>
            </w:pPr>
            <w:r>
              <w:rPr>
                <w:rFonts w:eastAsia="仿宋_GB2312"/>
                <w:kern w:val="0"/>
                <w:sz w:val="32"/>
                <w:szCs w:val="32"/>
              </w:rPr>
              <w:t>播报能力</w:t>
            </w:r>
          </w:p>
        </w:tc>
        <w:tc>
          <w:tcPr>
            <w:tcW w:w="1041" w:type="dxa"/>
            <w:tcBorders>
              <w:top w:val="nil"/>
              <w:left w:val="nil"/>
              <w:bottom w:val="single" w:color="auto" w:sz="4" w:space="0"/>
              <w:right w:val="single" w:color="auto" w:sz="4" w:space="0"/>
            </w:tcBorders>
            <w:vAlign w:val="center"/>
          </w:tcPr>
          <w:p>
            <w:pPr>
              <w:widowControl/>
              <w:snapToGrid w:val="0"/>
              <w:jc w:val="center"/>
              <w:rPr>
                <w:kern w:val="0"/>
                <w:sz w:val="32"/>
                <w:szCs w:val="32"/>
              </w:rPr>
            </w:pPr>
            <w:r>
              <w:rPr>
                <w:kern w:val="0"/>
                <w:sz w:val="32"/>
                <w:szCs w:val="32"/>
              </w:rPr>
              <w:t>70分</w:t>
            </w:r>
          </w:p>
        </w:tc>
        <w:tc>
          <w:tcPr>
            <w:tcW w:w="1261" w:type="dxa"/>
            <w:vMerge w:val="restart"/>
            <w:tcBorders>
              <w:top w:val="nil"/>
              <w:left w:val="single" w:color="auto" w:sz="4" w:space="0"/>
              <w:bottom w:val="single" w:color="auto" w:sz="4" w:space="0"/>
              <w:right w:val="single" w:color="auto" w:sz="4" w:space="0"/>
            </w:tcBorders>
            <w:vAlign w:val="center"/>
          </w:tcPr>
          <w:p>
            <w:pPr>
              <w:widowControl/>
              <w:snapToGrid w:val="0"/>
              <w:jc w:val="center"/>
              <w:rPr>
                <w:kern w:val="0"/>
                <w:sz w:val="32"/>
                <w:szCs w:val="32"/>
              </w:rPr>
            </w:pPr>
            <w:r>
              <w:rPr>
                <w:kern w:val="0"/>
                <w:sz w:val="32"/>
                <w:szCs w:val="32"/>
              </w:rPr>
              <w:t>100分</w:t>
            </w:r>
          </w:p>
        </w:tc>
        <w:tc>
          <w:tcPr>
            <w:tcW w:w="1100" w:type="dxa"/>
            <w:vMerge w:val="continue"/>
            <w:tcBorders>
              <w:top w:val="nil"/>
              <w:left w:val="single" w:color="auto" w:sz="4" w:space="0"/>
              <w:bottom w:val="single" w:color="auto" w:sz="4" w:space="0"/>
              <w:right w:val="single" w:color="auto" w:sz="4" w:space="0"/>
            </w:tcBorders>
            <w:vAlign w:val="center"/>
          </w:tcPr>
          <w:p>
            <w:pPr>
              <w:widowControl/>
              <w:snapToGrid w:val="0"/>
              <w:jc w:val="left"/>
              <w:rPr>
                <w:kern w:val="0"/>
                <w:sz w:val="32"/>
                <w:szCs w:val="32"/>
              </w:rPr>
            </w:pPr>
          </w:p>
        </w:tc>
      </w:tr>
      <w:tr>
        <w:tblPrEx>
          <w:tblCellMar>
            <w:top w:w="0" w:type="dxa"/>
            <w:left w:w="108" w:type="dxa"/>
            <w:bottom w:w="0" w:type="dxa"/>
            <w:right w:w="108" w:type="dxa"/>
          </w:tblCellMar>
        </w:tblPrEx>
        <w:trPr>
          <w:trHeight w:val="403" w:hRule="atLeast"/>
          <w:jc w:val="center"/>
        </w:trPr>
        <w:tc>
          <w:tcPr>
            <w:tcW w:w="299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eastAsia="仿宋_GB2312"/>
                <w:color w:val="000000"/>
                <w:kern w:val="0"/>
                <w:sz w:val="32"/>
                <w:szCs w:val="32"/>
              </w:rPr>
            </w:pPr>
          </w:p>
        </w:tc>
        <w:tc>
          <w:tcPr>
            <w:tcW w:w="2285" w:type="dxa"/>
            <w:tcBorders>
              <w:top w:val="nil"/>
              <w:left w:val="nil"/>
              <w:bottom w:val="single" w:color="auto" w:sz="4" w:space="0"/>
              <w:right w:val="single" w:color="auto" w:sz="4" w:space="0"/>
            </w:tcBorders>
            <w:vAlign w:val="center"/>
          </w:tcPr>
          <w:p>
            <w:pPr>
              <w:widowControl/>
              <w:snapToGrid w:val="0"/>
              <w:jc w:val="center"/>
              <w:rPr>
                <w:rFonts w:eastAsia="仿宋_GB2312"/>
                <w:kern w:val="0"/>
                <w:sz w:val="32"/>
                <w:szCs w:val="32"/>
              </w:rPr>
            </w:pPr>
            <w:r>
              <w:rPr>
                <w:rFonts w:eastAsia="仿宋_GB2312"/>
                <w:kern w:val="0"/>
                <w:sz w:val="32"/>
                <w:szCs w:val="32"/>
              </w:rPr>
              <w:t>形象气质</w:t>
            </w:r>
          </w:p>
        </w:tc>
        <w:tc>
          <w:tcPr>
            <w:tcW w:w="1041" w:type="dxa"/>
            <w:tcBorders>
              <w:top w:val="nil"/>
              <w:left w:val="nil"/>
              <w:bottom w:val="single" w:color="auto" w:sz="4" w:space="0"/>
              <w:right w:val="single" w:color="auto" w:sz="4" w:space="0"/>
            </w:tcBorders>
            <w:vAlign w:val="center"/>
          </w:tcPr>
          <w:p>
            <w:pPr>
              <w:widowControl/>
              <w:snapToGrid w:val="0"/>
              <w:jc w:val="center"/>
              <w:rPr>
                <w:kern w:val="0"/>
                <w:sz w:val="32"/>
                <w:szCs w:val="32"/>
              </w:rPr>
            </w:pPr>
            <w:r>
              <w:rPr>
                <w:kern w:val="0"/>
                <w:sz w:val="32"/>
                <w:szCs w:val="32"/>
              </w:rPr>
              <w:t>30分</w:t>
            </w:r>
          </w:p>
        </w:tc>
        <w:tc>
          <w:tcPr>
            <w:tcW w:w="1261" w:type="dxa"/>
            <w:vMerge w:val="continue"/>
            <w:tcBorders>
              <w:top w:val="nil"/>
              <w:left w:val="single" w:color="auto" w:sz="4" w:space="0"/>
              <w:bottom w:val="single" w:color="auto" w:sz="4" w:space="0"/>
              <w:right w:val="single" w:color="auto" w:sz="4" w:space="0"/>
            </w:tcBorders>
            <w:vAlign w:val="center"/>
          </w:tcPr>
          <w:p>
            <w:pPr>
              <w:widowControl/>
              <w:snapToGrid w:val="0"/>
              <w:jc w:val="left"/>
              <w:rPr>
                <w:kern w:val="0"/>
                <w:sz w:val="32"/>
                <w:szCs w:val="32"/>
              </w:rPr>
            </w:pPr>
          </w:p>
        </w:tc>
        <w:tc>
          <w:tcPr>
            <w:tcW w:w="1100" w:type="dxa"/>
            <w:vMerge w:val="continue"/>
            <w:tcBorders>
              <w:top w:val="nil"/>
              <w:left w:val="single" w:color="auto" w:sz="4" w:space="0"/>
              <w:bottom w:val="single" w:color="auto" w:sz="4" w:space="0"/>
              <w:right w:val="single" w:color="auto" w:sz="4" w:space="0"/>
            </w:tcBorders>
            <w:vAlign w:val="center"/>
          </w:tcPr>
          <w:p>
            <w:pPr>
              <w:widowControl/>
              <w:snapToGrid w:val="0"/>
              <w:jc w:val="left"/>
              <w:rPr>
                <w:kern w:val="0"/>
                <w:sz w:val="32"/>
                <w:szCs w:val="32"/>
              </w:rPr>
            </w:pPr>
          </w:p>
        </w:tc>
      </w:tr>
      <w:tr>
        <w:tblPrEx>
          <w:tblCellMar>
            <w:top w:w="0" w:type="dxa"/>
            <w:left w:w="108" w:type="dxa"/>
            <w:bottom w:w="0" w:type="dxa"/>
            <w:right w:w="108" w:type="dxa"/>
          </w:tblCellMar>
        </w:tblPrEx>
        <w:trPr>
          <w:trHeight w:val="402" w:hRule="atLeast"/>
          <w:jc w:val="center"/>
        </w:trPr>
        <w:tc>
          <w:tcPr>
            <w:tcW w:w="299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eastAsia="仿宋_GB2312"/>
                <w:color w:val="000000"/>
                <w:kern w:val="0"/>
                <w:sz w:val="32"/>
                <w:szCs w:val="32"/>
              </w:rPr>
            </w:pPr>
            <w:r>
              <w:rPr>
                <w:rFonts w:eastAsia="仿宋_GB2312"/>
                <w:color w:val="000000"/>
                <w:kern w:val="0"/>
                <w:sz w:val="32"/>
                <w:szCs w:val="32"/>
              </w:rPr>
              <w:t>即兴话题评述</w:t>
            </w:r>
          </w:p>
        </w:tc>
        <w:tc>
          <w:tcPr>
            <w:tcW w:w="2285" w:type="dxa"/>
            <w:tcBorders>
              <w:top w:val="nil"/>
              <w:left w:val="nil"/>
              <w:bottom w:val="single" w:color="auto" w:sz="4" w:space="0"/>
              <w:right w:val="single" w:color="auto" w:sz="4" w:space="0"/>
            </w:tcBorders>
            <w:vAlign w:val="center"/>
          </w:tcPr>
          <w:p>
            <w:pPr>
              <w:widowControl/>
              <w:snapToGrid w:val="0"/>
              <w:jc w:val="center"/>
              <w:rPr>
                <w:rFonts w:eastAsia="仿宋_GB2312"/>
                <w:kern w:val="0"/>
                <w:sz w:val="32"/>
                <w:szCs w:val="32"/>
              </w:rPr>
            </w:pPr>
            <w:r>
              <w:rPr>
                <w:rFonts w:eastAsia="仿宋_GB2312"/>
                <w:kern w:val="0"/>
                <w:sz w:val="32"/>
                <w:szCs w:val="32"/>
              </w:rPr>
              <w:t>思维及即兴</w:t>
            </w:r>
          </w:p>
          <w:p>
            <w:pPr>
              <w:widowControl/>
              <w:snapToGrid w:val="0"/>
              <w:jc w:val="center"/>
              <w:rPr>
                <w:rFonts w:eastAsia="仿宋_GB2312"/>
                <w:kern w:val="0"/>
                <w:sz w:val="32"/>
                <w:szCs w:val="32"/>
              </w:rPr>
            </w:pPr>
            <w:r>
              <w:rPr>
                <w:rFonts w:eastAsia="仿宋_GB2312"/>
                <w:kern w:val="0"/>
                <w:sz w:val="32"/>
                <w:szCs w:val="32"/>
              </w:rPr>
              <w:t>表达能力</w:t>
            </w:r>
          </w:p>
        </w:tc>
        <w:tc>
          <w:tcPr>
            <w:tcW w:w="1041" w:type="dxa"/>
            <w:tcBorders>
              <w:top w:val="nil"/>
              <w:left w:val="nil"/>
              <w:bottom w:val="single" w:color="auto" w:sz="4" w:space="0"/>
              <w:right w:val="single" w:color="auto" w:sz="4" w:space="0"/>
            </w:tcBorders>
            <w:vAlign w:val="center"/>
          </w:tcPr>
          <w:p>
            <w:pPr>
              <w:widowControl/>
              <w:snapToGrid w:val="0"/>
              <w:jc w:val="center"/>
              <w:rPr>
                <w:kern w:val="0"/>
                <w:sz w:val="32"/>
                <w:szCs w:val="32"/>
              </w:rPr>
            </w:pPr>
            <w:r>
              <w:rPr>
                <w:kern w:val="0"/>
                <w:sz w:val="32"/>
                <w:szCs w:val="32"/>
              </w:rPr>
              <w:t>70分</w:t>
            </w:r>
          </w:p>
        </w:tc>
        <w:tc>
          <w:tcPr>
            <w:tcW w:w="1261" w:type="dxa"/>
            <w:vMerge w:val="restart"/>
            <w:tcBorders>
              <w:top w:val="nil"/>
              <w:left w:val="single" w:color="auto" w:sz="4" w:space="0"/>
              <w:bottom w:val="single" w:color="auto" w:sz="4" w:space="0"/>
              <w:right w:val="single" w:color="auto" w:sz="4" w:space="0"/>
            </w:tcBorders>
            <w:vAlign w:val="center"/>
          </w:tcPr>
          <w:p>
            <w:pPr>
              <w:widowControl/>
              <w:snapToGrid w:val="0"/>
              <w:jc w:val="center"/>
              <w:rPr>
                <w:kern w:val="0"/>
                <w:sz w:val="32"/>
                <w:szCs w:val="32"/>
              </w:rPr>
            </w:pPr>
            <w:r>
              <w:rPr>
                <w:kern w:val="0"/>
                <w:sz w:val="32"/>
                <w:szCs w:val="32"/>
              </w:rPr>
              <w:t>100分</w:t>
            </w:r>
          </w:p>
        </w:tc>
        <w:tc>
          <w:tcPr>
            <w:tcW w:w="1100" w:type="dxa"/>
            <w:vMerge w:val="continue"/>
            <w:tcBorders>
              <w:top w:val="nil"/>
              <w:left w:val="single" w:color="auto" w:sz="4" w:space="0"/>
              <w:bottom w:val="single" w:color="auto" w:sz="4" w:space="0"/>
              <w:right w:val="single" w:color="auto" w:sz="4" w:space="0"/>
            </w:tcBorders>
            <w:vAlign w:val="center"/>
          </w:tcPr>
          <w:p>
            <w:pPr>
              <w:widowControl/>
              <w:snapToGrid w:val="0"/>
              <w:jc w:val="left"/>
              <w:rPr>
                <w:kern w:val="0"/>
                <w:sz w:val="32"/>
                <w:szCs w:val="32"/>
              </w:rPr>
            </w:pPr>
          </w:p>
        </w:tc>
      </w:tr>
      <w:tr>
        <w:tblPrEx>
          <w:tblCellMar>
            <w:top w:w="0" w:type="dxa"/>
            <w:left w:w="108" w:type="dxa"/>
            <w:bottom w:w="0" w:type="dxa"/>
            <w:right w:w="108" w:type="dxa"/>
          </w:tblCellMar>
        </w:tblPrEx>
        <w:trPr>
          <w:trHeight w:val="414" w:hRule="atLeast"/>
          <w:jc w:val="center"/>
        </w:trPr>
        <w:tc>
          <w:tcPr>
            <w:tcW w:w="299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eastAsia="仿宋_GB2312"/>
                <w:color w:val="000000"/>
                <w:kern w:val="0"/>
                <w:sz w:val="32"/>
                <w:szCs w:val="32"/>
              </w:rPr>
            </w:pPr>
          </w:p>
        </w:tc>
        <w:tc>
          <w:tcPr>
            <w:tcW w:w="2285" w:type="dxa"/>
            <w:tcBorders>
              <w:top w:val="nil"/>
              <w:left w:val="nil"/>
              <w:bottom w:val="single" w:color="auto" w:sz="4" w:space="0"/>
              <w:right w:val="single" w:color="auto" w:sz="4" w:space="0"/>
            </w:tcBorders>
            <w:vAlign w:val="center"/>
          </w:tcPr>
          <w:p>
            <w:pPr>
              <w:widowControl/>
              <w:snapToGrid w:val="0"/>
              <w:jc w:val="center"/>
              <w:rPr>
                <w:rFonts w:eastAsia="仿宋_GB2312"/>
                <w:color w:val="000000"/>
                <w:kern w:val="0"/>
                <w:sz w:val="32"/>
                <w:szCs w:val="32"/>
              </w:rPr>
            </w:pPr>
            <w:r>
              <w:rPr>
                <w:rFonts w:eastAsia="仿宋_GB2312"/>
                <w:color w:val="000000"/>
                <w:kern w:val="0"/>
                <w:sz w:val="32"/>
                <w:szCs w:val="32"/>
              </w:rPr>
              <w:t>整体状态</w:t>
            </w:r>
          </w:p>
        </w:tc>
        <w:tc>
          <w:tcPr>
            <w:tcW w:w="1041" w:type="dxa"/>
            <w:tcBorders>
              <w:top w:val="nil"/>
              <w:left w:val="nil"/>
              <w:bottom w:val="single" w:color="auto" w:sz="4" w:space="0"/>
              <w:right w:val="single" w:color="auto" w:sz="4" w:space="0"/>
            </w:tcBorders>
            <w:vAlign w:val="center"/>
          </w:tcPr>
          <w:p>
            <w:pPr>
              <w:widowControl/>
              <w:snapToGrid w:val="0"/>
              <w:jc w:val="center"/>
              <w:rPr>
                <w:kern w:val="0"/>
                <w:sz w:val="32"/>
                <w:szCs w:val="32"/>
              </w:rPr>
            </w:pPr>
            <w:r>
              <w:rPr>
                <w:kern w:val="0"/>
                <w:sz w:val="32"/>
                <w:szCs w:val="32"/>
              </w:rPr>
              <w:t>30分</w:t>
            </w:r>
          </w:p>
        </w:tc>
        <w:tc>
          <w:tcPr>
            <w:tcW w:w="1261" w:type="dxa"/>
            <w:vMerge w:val="continue"/>
            <w:tcBorders>
              <w:top w:val="nil"/>
              <w:left w:val="single" w:color="auto" w:sz="4" w:space="0"/>
              <w:bottom w:val="single" w:color="auto" w:sz="4" w:space="0"/>
              <w:right w:val="single" w:color="auto" w:sz="4" w:space="0"/>
            </w:tcBorders>
            <w:vAlign w:val="center"/>
          </w:tcPr>
          <w:p>
            <w:pPr>
              <w:widowControl/>
              <w:snapToGrid w:val="0"/>
              <w:jc w:val="left"/>
              <w:rPr>
                <w:kern w:val="0"/>
                <w:sz w:val="32"/>
                <w:szCs w:val="32"/>
              </w:rPr>
            </w:pPr>
          </w:p>
        </w:tc>
        <w:tc>
          <w:tcPr>
            <w:tcW w:w="1100" w:type="dxa"/>
            <w:vMerge w:val="continue"/>
            <w:tcBorders>
              <w:top w:val="nil"/>
              <w:left w:val="single" w:color="auto" w:sz="4" w:space="0"/>
              <w:bottom w:val="single" w:color="auto" w:sz="4" w:space="0"/>
              <w:right w:val="single" w:color="auto" w:sz="4" w:space="0"/>
            </w:tcBorders>
            <w:vAlign w:val="center"/>
          </w:tcPr>
          <w:p>
            <w:pPr>
              <w:widowControl/>
              <w:snapToGrid w:val="0"/>
              <w:jc w:val="left"/>
              <w:rPr>
                <w:kern w:val="0"/>
                <w:sz w:val="32"/>
                <w:szCs w:val="32"/>
              </w:rPr>
            </w:pPr>
          </w:p>
        </w:tc>
      </w:tr>
    </w:tbl>
    <w:p>
      <w:pPr>
        <w:adjustRightInd w:val="0"/>
        <w:snapToGrid w:val="0"/>
        <w:spacing w:line="560" w:lineRule="exact"/>
        <w:ind w:firstLine="640" w:firstLineChars="200"/>
        <w:rPr>
          <w:rFonts w:eastAsia="黑体"/>
          <w:sz w:val="32"/>
          <w:szCs w:val="32"/>
        </w:rPr>
      </w:pPr>
      <w:r>
        <w:rPr>
          <w:rFonts w:hint="eastAsia" w:eastAsia="黑体"/>
          <w:sz w:val="32"/>
          <w:szCs w:val="32"/>
        </w:rPr>
        <w:t>三</w:t>
      </w:r>
      <w:r>
        <w:rPr>
          <w:rFonts w:eastAsia="黑体"/>
          <w:sz w:val="32"/>
          <w:szCs w:val="32"/>
        </w:rPr>
        <w:t>、</w:t>
      </w:r>
      <w:r>
        <w:rPr>
          <w:rFonts w:hint="eastAsia" w:eastAsia="黑体"/>
          <w:sz w:val="32"/>
          <w:szCs w:val="32"/>
        </w:rPr>
        <w:t>考核内容和考试形式、时长</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（一）自备文学作品朗诵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1.考核内容：主要考查考生的普通话水平、声音的可塑性、考生对文学作品的理解力、感受力、声音表现力以及考生的形象、</w:t>
      </w:r>
      <w:r>
        <w:rPr>
          <w:rFonts w:eastAsia="仿宋_GB2312"/>
          <w:sz w:val="32"/>
          <w:szCs w:val="32"/>
        </w:rPr>
        <w:t>仪态、精神面貌、着装等</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2.考试形式：</w:t>
      </w:r>
      <w:r>
        <w:rPr>
          <w:rFonts w:eastAsia="仿宋_GB2312"/>
          <w:sz w:val="32"/>
          <w:szCs w:val="32"/>
        </w:rPr>
        <w:t>考生朗读自备文学作品一篇，体裁不限（诗歌、散文、小说、寓言等）</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3.考试时长：作答</w:t>
      </w:r>
      <w:r>
        <w:rPr>
          <w:rFonts w:eastAsia="仿宋_GB2312"/>
          <w:sz w:val="32"/>
          <w:szCs w:val="32"/>
        </w:rPr>
        <w:t>限时1.5分钟</w:t>
      </w:r>
      <w:r>
        <w:rPr>
          <w:rFonts w:hint="eastAsia" w:eastAsia="仿宋_GB2312"/>
          <w:sz w:val="32"/>
          <w:szCs w:val="32"/>
        </w:rPr>
        <w:t>。</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（二）指定新闻稿件播报</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1.考核内容：</w:t>
      </w:r>
      <w:r>
        <w:rPr>
          <w:rFonts w:eastAsia="仿宋_GB2312"/>
          <w:sz w:val="32"/>
          <w:szCs w:val="32"/>
        </w:rPr>
        <w:t>主要考查考生新闻播读的语言</w:t>
      </w:r>
      <w:r>
        <w:rPr>
          <w:rFonts w:hint="eastAsia" w:eastAsia="仿宋_GB2312"/>
          <w:sz w:val="32"/>
          <w:szCs w:val="32"/>
        </w:rPr>
        <w:t>表达</w:t>
      </w:r>
      <w:r>
        <w:rPr>
          <w:rFonts w:eastAsia="仿宋_GB2312"/>
          <w:sz w:val="32"/>
          <w:szCs w:val="32"/>
        </w:rPr>
        <w:t>、播报能力以及考生的</w:t>
      </w:r>
      <w:r>
        <w:rPr>
          <w:rFonts w:hint="eastAsia" w:eastAsia="仿宋_GB2312"/>
          <w:sz w:val="32"/>
          <w:szCs w:val="32"/>
        </w:rPr>
        <w:t>形象、</w:t>
      </w:r>
      <w:r>
        <w:rPr>
          <w:rFonts w:eastAsia="仿宋_GB2312"/>
          <w:sz w:val="32"/>
          <w:szCs w:val="32"/>
        </w:rPr>
        <w:t>仪态、精神面貌、着装等。</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2.考试形式：</w:t>
      </w:r>
      <w:r>
        <w:rPr>
          <w:rFonts w:eastAsia="仿宋_GB2312"/>
          <w:sz w:val="32"/>
          <w:szCs w:val="32"/>
        </w:rPr>
        <w:t>考生</w:t>
      </w:r>
      <w:r>
        <w:rPr>
          <w:rFonts w:hint="eastAsia" w:eastAsia="仿宋_GB2312"/>
          <w:sz w:val="32"/>
          <w:szCs w:val="32"/>
        </w:rPr>
        <w:t>现场</w:t>
      </w:r>
      <w:r>
        <w:rPr>
          <w:rFonts w:eastAsia="仿宋_GB2312"/>
          <w:sz w:val="32"/>
          <w:szCs w:val="32"/>
        </w:rPr>
        <w:t>抽取并播报一篇指定新闻稿件</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3.考试时长：作答</w:t>
      </w:r>
      <w:r>
        <w:rPr>
          <w:rFonts w:eastAsia="仿宋_GB2312"/>
          <w:sz w:val="32"/>
          <w:szCs w:val="32"/>
        </w:rPr>
        <w:t>限时1.5分钟</w:t>
      </w:r>
      <w:r>
        <w:rPr>
          <w:rFonts w:hint="eastAsia" w:eastAsia="仿宋_GB2312"/>
          <w:sz w:val="32"/>
          <w:szCs w:val="32"/>
        </w:rPr>
        <w:t>。</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（三）即兴话题评述</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1.考核内容：</w:t>
      </w:r>
      <w:r>
        <w:rPr>
          <w:rFonts w:eastAsia="仿宋_GB2312"/>
          <w:sz w:val="32"/>
          <w:szCs w:val="32"/>
        </w:rPr>
        <w:t>主要考查考生的即兴评述的观点导向、内容组织、语言表达能力及整体状态。</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2.考试形式：</w:t>
      </w:r>
      <w:r>
        <w:rPr>
          <w:rFonts w:eastAsia="仿宋_GB2312"/>
          <w:sz w:val="32"/>
          <w:szCs w:val="32"/>
        </w:rPr>
        <w:t>考生</w:t>
      </w:r>
      <w:r>
        <w:rPr>
          <w:rFonts w:hint="eastAsia" w:eastAsia="仿宋_GB2312"/>
          <w:sz w:val="32"/>
          <w:szCs w:val="32"/>
        </w:rPr>
        <w:t>现场</w:t>
      </w:r>
      <w:r>
        <w:rPr>
          <w:rFonts w:eastAsia="仿宋_GB2312"/>
          <w:sz w:val="32"/>
          <w:szCs w:val="32"/>
        </w:rPr>
        <w:t>抽取1个话题进行即兴评述</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3.考试时长：作答</w:t>
      </w:r>
      <w:r>
        <w:rPr>
          <w:rFonts w:eastAsia="仿宋_GB2312"/>
          <w:sz w:val="32"/>
          <w:szCs w:val="32"/>
        </w:rPr>
        <w:t>限时2分钟</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备注：</w:t>
      </w:r>
    </w:p>
    <w:p>
      <w:pPr>
        <w:adjustRightInd w:val="0"/>
        <w:snapToGrid w:val="0"/>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考生着装不得有特殊标记或明显品牌Logo标识等。</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2.考生</w:t>
      </w:r>
      <w:r>
        <w:rPr>
          <w:rFonts w:eastAsia="仿宋_GB2312"/>
          <w:sz w:val="32"/>
          <w:szCs w:val="32"/>
        </w:rPr>
        <w:t>不得佩戴任何头饰、配饰等装饰物</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3.考生不得穿高跟鞋（包括内增高）。</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4.考生应露出完整清晰的面部五官，包括额头、颌骨、下巴、耳朵等。发型不得遮挡脸部，不可有刘海。</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四、题型示例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见附件。</w:t>
      </w:r>
    </w:p>
    <w:p>
      <w:pPr>
        <w:adjustRightInd w:val="0"/>
        <w:snapToGrid w:val="0"/>
        <w:spacing w:line="560" w:lineRule="exact"/>
        <w:rPr>
          <w:rFonts w:eastAsia="黑体"/>
          <w:color w:val="000000"/>
          <w:sz w:val="32"/>
          <w:szCs w:val="32"/>
        </w:rPr>
      </w:pPr>
      <w:r>
        <w:rPr>
          <w:rFonts w:eastAsia="黑体"/>
          <w:color w:val="000000"/>
          <w:sz w:val="32"/>
          <w:szCs w:val="32"/>
        </w:rPr>
        <w:br w:type="page"/>
      </w:r>
      <w:r>
        <w:rPr>
          <w:rFonts w:hint="eastAsia" w:eastAsia="黑体"/>
          <w:color w:val="000000"/>
          <w:sz w:val="32"/>
          <w:szCs w:val="32"/>
        </w:rPr>
        <w:t>附</w:t>
      </w:r>
    </w:p>
    <w:p>
      <w:pPr>
        <w:numPr>
          <w:ilvl w:val="0"/>
          <w:numId w:val="1"/>
        </w:numPr>
        <w:adjustRightInd w:val="0"/>
        <w:snapToGrid w:val="0"/>
        <w:spacing w:line="560" w:lineRule="exact"/>
        <w:ind w:firstLine="640" w:firstLineChars="200"/>
        <w:rPr>
          <w:rFonts w:eastAsia="黑体"/>
          <w:sz w:val="32"/>
          <w:szCs w:val="32"/>
        </w:rPr>
      </w:pPr>
      <w:r>
        <w:rPr>
          <w:rFonts w:hint="eastAsia" w:eastAsia="黑体"/>
          <w:sz w:val="32"/>
          <w:szCs w:val="32"/>
        </w:rPr>
        <w:t>自备文学作品朗诵题型示例</w:t>
      </w:r>
    </w:p>
    <w:p>
      <w:pPr>
        <w:adjustRightInd w:val="0"/>
        <w:snapToGrid w:val="0"/>
        <w:spacing w:line="560" w:lineRule="exact"/>
        <w:ind w:firstLine="640" w:firstLineChars="200"/>
        <w:rPr>
          <w:rFonts w:eastAsia="黑体"/>
          <w:sz w:val="32"/>
          <w:szCs w:val="32"/>
        </w:rPr>
      </w:pPr>
      <w:r>
        <w:rPr>
          <w:rFonts w:hint="eastAsia" w:eastAsia="黑体"/>
          <w:sz w:val="32"/>
          <w:szCs w:val="32"/>
        </w:rPr>
        <w:t>（略）</w:t>
      </w:r>
    </w:p>
    <w:p>
      <w:pPr>
        <w:adjustRightInd w:val="0"/>
        <w:snapToGrid w:val="0"/>
        <w:spacing w:line="560" w:lineRule="exact"/>
        <w:ind w:firstLine="640" w:firstLineChars="200"/>
        <w:rPr>
          <w:rFonts w:eastAsia="仿宋_GB2312"/>
        </w:rPr>
      </w:pPr>
      <w:r>
        <w:rPr>
          <w:rFonts w:hint="eastAsia" w:eastAsia="黑体"/>
          <w:sz w:val="32"/>
          <w:szCs w:val="32"/>
        </w:rPr>
        <w:t>二、</w:t>
      </w:r>
      <w:r>
        <w:rPr>
          <w:rFonts w:eastAsia="黑体"/>
          <w:sz w:val="32"/>
          <w:szCs w:val="32"/>
        </w:rPr>
        <w:t>指定新闻稿件播</w:t>
      </w:r>
      <w:r>
        <w:rPr>
          <w:rFonts w:hint="eastAsia" w:eastAsia="黑体"/>
          <w:sz w:val="32"/>
          <w:szCs w:val="32"/>
        </w:rPr>
        <w:t>报题型示例</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请播报以下指定新闻稿件，作答限时1.5分钟。</w:t>
      </w:r>
    </w:p>
    <w:p>
      <w:pPr>
        <w:adjustRightInd w:val="0"/>
        <w:snapToGrid w:val="0"/>
        <w:spacing w:line="560" w:lineRule="exact"/>
        <w:ind w:firstLine="640" w:firstLineChars="200"/>
        <w:rPr>
          <w:rFonts w:eastAsia="黑体"/>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本台消息新修订的《北京市生活垃圾管理条例》实施一年来，北京把垃圾分类纳入社区服务管理，垃圾分类初见成效。</w:t>
      </w:r>
    </w:p>
    <w:p>
      <w:pPr>
        <w:adjustRightInd w:val="0"/>
        <w:snapToGrid w:val="0"/>
        <w:spacing w:line="560" w:lineRule="exact"/>
        <w:ind w:firstLine="640" w:firstLineChars="200"/>
        <w:rPr>
          <w:rFonts w:eastAsia="黑体"/>
          <w:sz w:val="32"/>
          <w:szCs w:val="32"/>
        </w:rPr>
      </w:pPr>
      <w:r>
        <w:rPr>
          <w:rFonts w:hint="eastAsia" w:eastAsia="仿宋_GB2312"/>
          <w:sz w:val="32"/>
          <w:szCs w:val="32"/>
        </w:rPr>
        <w:t>北京市坚持以服务促管理，把垃圾分类纳入社区治理。在商住两用的朝阳区西店社区，辖区内租住企业多达368家。在签订租赁合同时，租户们都会收到一张《垃圾投放点位分布图》，并有党员和志愿者组成垃圾分类“守桶人”，加强宣传普及，推动社区共商共治。</w:t>
      </w:r>
      <w:r>
        <w:rPr>
          <w:rFonts w:hint="eastAsia" w:eastAsia="仿宋_GB2312"/>
          <w:sz w:val="32"/>
          <w:szCs w:val="32"/>
        </w:rPr>
        <w:br w:type="textWrapping"/>
      </w:r>
      <w:r>
        <w:rPr>
          <w:rFonts w:hint="eastAsia" w:eastAsia="仿宋_GB2312"/>
          <w:sz w:val="32"/>
          <w:szCs w:val="32"/>
        </w:rPr>
        <w:t xml:space="preserve">    没有群众参与，垃圾分类很难持续。人人参与、家家分类。一年来，北京市的13000多个小区、3000多个村子，已有117000多名垃圾分类责任人，居民知晓率达98%、参与率达90%、准确投放率达85%。</w:t>
      </w:r>
    </w:p>
    <w:p>
      <w:pPr>
        <w:adjustRightInd w:val="0"/>
        <w:snapToGrid w:val="0"/>
        <w:spacing w:line="560" w:lineRule="exact"/>
        <w:ind w:firstLine="640" w:firstLineChars="200"/>
      </w:pPr>
      <w:r>
        <w:rPr>
          <w:rFonts w:hint="eastAsia" w:eastAsia="黑体"/>
          <w:sz w:val="32"/>
          <w:szCs w:val="32"/>
        </w:rPr>
        <w:t>三、即兴话题评述题型示例</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请根据以下指定材料进行即兴话题评述，作答限时2分钟。</w:t>
      </w:r>
    </w:p>
    <w:p>
      <w:pPr>
        <w:adjustRightInd w:val="0"/>
        <w:snapToGrid w:val="0"/>
        <w:spacing w:line="560" w:lineRule="exact"/>
        <w:ind w:firstLine="640" w:firstLineChars="200"/>
      </w:pPr>
      <w:r>
        <w:rPr>
          <w:rFonts w:hint="eastAsia" w:eastAsia="仿宋_GB2312"/>
          <w:sz w:val="32"/>
          <w:szCs w:val="32"/>
        </w:rPr>
        <w:t>每年的“双十一”期间，各大电商平台推出各类促销活动，推动互联网经济的发展。然而，各种复杂的促销规则让消费者“望而却步”。请谈谈你对此的看法。</w:t>
      </w:r>
      <w:r>
        <w:rPr>
          <w:rFonts w:hint="eastAsia"/>
          <w:sz w:val="32"/>
          <w:szCs w:val="32"/>
        </w:rPr>
        <w:t xml:space="preserve"> </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AE40A"/>
    <w:multiLevelType w:val="singleLevel"/>
    <w:tmpl w:val="631AE4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4NDNhZTczMWVjMGMwMDNjYWQ1YzVhNDQ2N2ZhNmIifQ=="/>
  </w:docVars>
  <w:rsids>
    <w:rsidRoot w:val="00000000"/>
    <w:rsid w:val="7BFC3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2022-12-03T05:39:37Z</dcterms:created>
  <dc:creator>1234</dc:creator>
  <cp:lastModifiedBy>1234</cp:lastModifiedBy>
  <dcterms:modified xsi:type="dcterms:W3CDTF">2022-12-03T05:41:07Z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22768C8ED3A3428E98AE6A5D59B115C8</vt:lpwstr>
  </property>
</Properties>
</file>