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11493500</wp:posOffset>
            </wp:positionH>
            <wp:positionV relativeFrom="topMargin">
              <wp:posOffset>12636500</wp:posOffset>
            </wp:positionV>
            <wp:extent cx="482600" cy="368300"/>
            <wp:effectExtent l="0" t="0" r="3175" b="3175"/>
            <wp:wrapNone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</w:rPr>
        <w:t>2022年天津市普通高中学业水平等级性考试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化学参考答案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第Ⅰ卷：每题3分，共36分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651"/>
        <w:gridCol w:w="647"/>
        <w:gridCol w:w="651"/>
        <w:gridCol w:w="647"/>
        <w:gridCol w:w="647"/>
        <w:gridCol w:w="651"/>
        <w:gridCol w:w="651"/>
        <w:gridCol w:w="647"/>
        <w:gridCol w:w="670"/>
        <w:gridCol w:w="668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第Ⅱ卷：共64分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13．（除标注外，每空2分，共14分）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rFonts w:hint="eastAsia"/>
        </w:rPr>
        <w:drawing>
          <wp:inline distT="0" distB="0" distL="0" distR="0">
            <wp:extent cx="323850" cy="509905"/>
            <wp:effectExtent l="19050" t="0" r="0" b="0"/>
            <wp:docPr id="4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（或</w:t>
      </w:r>
      <w:r>
        <w:rPr>
          <w:rFonts w:hint="eastAsia"/>
        </w:rPr>
        <w:drawing>
          <wp:inline distT="0" distB="0" distL="0" distR="0">
            <wp:extent cx="323850" cy="453390"/>
            <wp:effectExtent l="19050" t="0" r="0" b="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（2）作助熔剂，降低NaCl的熔点，节省能耗。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rFonts w:hint="eastAsia"/>
        </w:rPr>
        <w:drawing>
          <wp:inline distT="0" distB="0" distL="0" distR="0">
            <wp:extent cx="1171575" cy="284480"/>
            <wp:effectExtent l="19050" t="0" r="9525" b="0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rPr>
          <w:position w:val="-34"/>
        </w:rPr>
        <w:object>
          <v:shape id="_x0000_i1025" o:spt="75" type="#_x0000_t75" style="height:39.75pt;width:15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position w:val="-6"/>
        </w:rPr>
        <w:object>
          <v:shape id="_x0000_i1026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（4）c（1分）；a（1分）。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</w:t>
      </w:r>
      <w:r>
        <w:rPr>
          <w:position w:val="-12"/>
        </w:rPr>
        <w:object>
          <v:shape id="_x0000_i1027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（6）159。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14．（除标注外，每空2分，共18分）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position w:val="-12"/>
        </w:rPr>
        <w:object>
          <v:shape id="_x0000_i102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</w:rPr>
        <w:t>（1分）；酮羰基、羟基（每个1分）。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（2）2-甲基丙酸；4；</w:t>
      </w:r>
      <w:r>
        <w:rPr>
          <w:position w:val="-12"/>
        </w:rPr>
        <w:object>
          <v:shape id="_x0000_i1029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（3）c（1分）。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（4）取代反应（或水解反应）。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</w:t>
      </w:r>
      <w:r>
        <w:rPr>
          <w:rFonts w:hint="eastAsia"/>
        </w:rPr>
        <w:drawing>
          <wp:inline distT="0" distB="0" distL="0" distR="0">
            <wp:extent cx="2819400" cy="608965"/>
            <wp:effectExtent l="19050" t="0" r="0" b="0"/>
            <wp:docPr id="5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727" cy="6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</w:t>
      </w:r>
      <w:r>
        <w:rPr>
          <w:rFonts w:hint="eastAsia"/>
        </w:rPr>
        <w:drawing>
          <wp:inline distT="0" distB="0" distL="0" distR="0">
            <wp:extent cx="4286250" cy="557530"/>
            <wp:effectExtent l="19050" t="0" r="0" b="0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（每步1分，共4分）。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15．（除标注外，每空2分，共18分）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（1）不再有气泡产生（1分）；Fe、Cu在稀盐酸中形成原电池，加快反应速率。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（2）漏斗、玻璃棒（各1分）。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position w:val="-16"/>
        </w:rPr>
        <w:object>
          <v:shape id="_x0000_i1030" o:spt="75" type="#_x0000_t75" style="height:21.75pt;width:74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Fonts w:hint="eastAsia"/>
        </w:rPr>
        <w:t>溶液（1分，不写溶液不扣分）。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</w:t>
      </w:r>
      <w:r>
        <w:rPr>
          <w:position w:val="-34"/>
        </w:rPr>
        <w:object>
          <v:shape id="_x0000_i1031" o:spt="75" type="#_x0000_t75" style="height:39.75pt;width:107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34"/>
        </w:rPr>
        <w:object>
          <v:shape id="_x0000_i1032" o:spt="75" type="#_x0000_t75" style="height:39.75pt;width:138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hint="eastAsia"/>
        </w:rPr>
        <w:t>（各1分）。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（5）在HCl气流中蒸发浓缩、冷却结晶，过滤、洗涤、干燥得到</w:t>
      </w:r>
      <w:r>
        <w:rPr>
          <w:position w:val="-12"/>
        </w:rPr>
        <w:object>
          <v:shape id="_x0000_i1033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hint="eastAsia"/>
        </w:rPr>
        <w:t>晶体。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（6）球形冷凝管（1分）；冷凝回流</w:t>
      </w:r>
      <w:r>
        <w:rPr>
          <w:position w:val="-12"/>
        </w:rPr>
        <w:object>
          <v:shape id="_x0000_i1034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hint="eastAsia"/>
        </w:rPr>
        <w:t>；吸收</w:t>
      </w:r>
      <w:r>
        <w:rPr>
          <w:position w:val="-12"/>
        </w:rPr>
        <w:object>
          <v:shape id="_x0000_i103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hint="eastAsia"/>
        </w:rPr>
        <w:t>、HCl等尾气，防止污染。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（7）碱石灰与</w:t>
      </w:r>
      <w:r>
        <w:rPr>
          <w:position w:val="-12"/>
        </w:rPr>
        <w:object>
          <v:shape id="_x0000_i103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hint="eastAsia"/>
        </w:rPr>
        <w:t>、HCl气体反应，失去干燥作用。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（8）a（1分）。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16．（除标注外，每空2分，共14分）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position w:val="-34"/>
        </w:rPr>
        <w:object>
          <v:shape id="_x0000_i1037" o:spt="75" type="#_x0000_t75" style="height:39.75pt;width:152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hint="eastAsia"/>
        </w:rPr>
        <w:t>（或</w:t>
      </w:r>
      <w:r>
        <w:rPr>
          <w:position w:val="-36"/>
        </w:rPr>
        <w:object>
          <v:shape id="_x0000_i1038" o:spt="75" type="#_x0000_t75" style="height:42pt;width:227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hint="eastAsia"/>
        </w:rPr>
        <w:t>）；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放出</w:t>
      </w:r>
      <w:r>
        <w:rPr>
          <w:position w:val="-28"/>
        </w:rPr>
        <w:object>
          <v:shape id="_x0000_i1039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hint="eastAsia"/>
        </w:rPr>
        <w:t>热量（1分）；作催化剂（或降低反应活化能，1分）。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（2）A。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sectPr>
          <w:headerReference r:id="rId3" w:type="default"/>
          <w:footerReference r:id="rId4" w:type="default"/>
          <w:pgSz w:w="11906" w:h="16838"/>
          <w:pgMar w:top="1440" w:right="1800" w:bottom="1440" w:left="1800" w:header="708" w:footer="708" w:gutter="0"/>
          <w:cols w:space="708" w:num="1"/>
        </w:sectPr>
      </w:pPr>
      <w:r>
        <w:rPr>
          <w:rFonts w:hint="eastAsia"/>
        </w:rPr>
        <w:t>（3）</w:t>
      </w:r>
      <w:r>
        <w:rPr>
          <w:position w:val="-12"/>
        </w:rPr>
        <w:object>
          <v:shape id="_x0000_i1040" o:spt="75" type="#_x0000_t75" style="height:18.75pt;width:13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hint="eastAsia"/>
        </w:rPr>
        <w:t>（或</w:t>
      </w:r>
      <w:r>
        <w:rPr>
          <w:position w:val="-12"/>
        </w:rPr>
        <w:object>
          <v:shape id="_x0000_i1041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hint="eastAsia"/>
        </w:rPr>
        <w:t>，多写第二步电离不扣分）；</w:t>
      </w:r>
      <w:r>
        <w:rPr>
          <w:position w:val="-6"/>
        </w:rPr>
        <w:object>
          <v:shape id="_x0000_i1042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/>
        </w:rPr>
        <w:t>；</w:t>
      </w:r>
      <w:r>
        <w:rPr>
          <w:position w:val="-6"/>
        </w:rPr>
        <w:object>
          <v:shape id="_x0000_i1043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/>
        </w:rPr>
        <w:t>；8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044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4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327BD"/>
    <w:rsid w:val="000460FF"/>
    <w:rsid w:val="00054E7B"/>
    <w:rsid w:val="00095E90"/>
    <w:rsid w:val="000B46D6"/>
    <w:rsid w:val="000C070B"/>
    <w:rsid w:val="000E4D02"/>
    <w:rsid w:val="000E4FF1"/>
    <w:rsid w:val="001177F3"/>
    <w:rsid w:val="00171458"/>
    <w:rsid w:val="00173C1D"/>
    <w:rsid w:val="001764C3"/>
    <w:rsid w:val="0018010E"/>
    <w:rsid w:val="00180AF5"/>
    <w:rsid w:val="001811B1"/>
    <w:rsid w:val="00191C29"/>
    <w:rsid w:val="0019409B"/>
    <w:rsid w:val="001C0528"/>
    <w:rsid w:val="001C63DA"/>
    <w:rsid w:val="001D0C6F"/>
    <w:rsid w:val="00201A7E"/>
    <w:rsid w:val="00203BB4"/>
    <w:rsid w:val="00204526"/>
    <w:rsid w:val="00221FC9"/>
    <w:rsid w:val="002250C1"/>
    <w:rsid w:val="002323FC"/>
    <w:rsid w:val="00244CEF"/>
    <w:rsid w:val="002457C2"/>
    <w:rsid w:val="00280B70"/>
    <w:rsid w:val="00282AFD"/>
    <w:rsid w:val="002908F0"/>
    <w:rsid w:val="00291009"/>
    <w:rsid w:val="00291196"/>
    <w:rsid w:val="00293DFF"/>
    <w:rsid w:val="0029515D"/>
    <w:rsid w:val="002A0E5D"/>
    <w:rsid w:val="002A1A21"/>
    <w:rsid w:val="002B2B61"/>
    <w:rsid w:val="002B76FB"/>
    <w:rsid w:val="002F06B2"/>
    <w:rsid w:val="003102DB"/>
    <w:rsid w:val="00315F16"/>
    <w:rsid w:val="00345B91"/>
    <w:rsid w:val="003625C4"/>
    <w:rsid w:val="00367AAD"/>
    <w:rsid w:val="00387E7D"/>
    <w:rsid w:val="003A20E8"/>
    <w:rsid w:val="003B1712"/>
    <w:rsid w:val="003B3ED6"/>
    <w:rsid w:val="003C4A95"/>
    <w:rsid w:val="003D0C09"/>
    <w:rsid w:val="004062F6"/>
    <w:rsid w:val="004151FC"/>
    <w:rsid w:val="00425251"/>
    <w:rsid w:val="00430A44"/>
    <w:rsid w:val="00435F83"/>
    <w:rsid w:val="00442CDC"/>
    <w:rsid w:val="00444A46"/>
    <w:rsid w:val="0046214C"/>
    <w:rsid w:val="00467793"/>
    <w:rsid w:val="00482D70"/>
    <w:rsid w:val="0049183B"/>
    <w:rsid w:val="004968EB"/>
    <w:rsid w:val="004A320B"/>
    <w:rsid w:val="004B44B5"/>
    <w:rsid w:val="004D44FD"/>
    <w:rsid w:val="004E4B4C"/>
    <w:rsid w:val="005016E7"/>
    <w:rsid w:val="00514765"/>
    <w:rsid w:val="0052311B"/>
    <w:rsid w:val="00551611"/>
    <w:rsid w:val="005742FA"/>
    <w:rsid w:val="0059145F"/>
    <w:rsid w:val="00596076"/>
    <w:rsid w:val="005B39DB"/>
    <w:rsid w:val="005C2124"/>
    <w:rsid w:val="005F1362"/>
    <w:rsid w:val="00600588"/>
    <w:rsid w:val="006033B0"/>
    <w:rsid w:val="00605626"/>
    <w:rsid w:val="006071D5"/>
    <w:rsid w:val="0062039B"/>
    <w:rsid w:val="00623C16"/>
    <w:rsid w:val="00637D3A"/>
    <w:rsid w:val="00640BF5"/>
    <w:rsid w:val="0065487D"/>
    <w:rsid w:val="00657B9C"/>
    <w:rsid w:val="00687AD5"/>
    <w:rsid w:val="006A2C04"/>
    <w:rsid w:val="006D247D"/>
    <w:rsid w:val="006D5DE9"/>
    <w:rsid w:val="006E687A"/>
    <w:rsid w:val="006F45E0"/>
    <w:rsid w:val="00701D6B"/>
    <w:rsid w:val="0070273B"/>
    <w:rsid w:val="007061B2"/>
    <w:rsid w:val="00740A09"/>
    <w:rsid w:val="00762E26"/>
    <w:rsid w:val="007A71FD"/>
    <w:rsid w:val="007D4DB1"/>
    <w:rsid w:val="007E19CA"/>
    <w:rsid w:val="008028B5"/>
    <w:rsid w:val="00832EC9"/>
    <w:rsid w:val="008634CD"/>
    <w:rsid w:val="008655BD"/>
    <w:rsid w:val="008731FA"/>
    <w:rsid w:val="00880A38"/>
    <w:rsid w:val="00893DD6"/>
    <w:rsid w:val="00896380"/>
    <w:rsid w:val="008D2E94"/>
    <w:rsid w:val="008E30E3"/>
    <w:rsid w:val="00906830"/>
    <w:rsid w:val="009233AA"/>
    <w:rsid w:val="009526E6"/>
    <w:rsid w:val="00954CCA"/>
    <w:rsid w:val="00974E0F"/>
    <w:rsid w:val="00982128"/>
    <w:rsid w:val="009A27BF"/>
    <w:rsid w:val="009B5666"/>
    <w:rsid w:val="009C367F"/>
    <w:rsid w:val="009C4252"/>
    <w:rsid w:val="00A07DF2"/>
    <w:rsid w:val="00A30435"/>
    <w:rsid w:val="00A405DB"/>
    <w:rsid w:val="00A41BE2"/>
    <w:rsid w:val="00A45233"/>
    <w:rsid w:val="00A46D54"/>
    <w:rsid w:val="00A50DF9"/>
    <w:rsid w:val="00A536B0"/>
    <w:rsid w:val="00AB3EE3"/>
    <w:rsid w:val="00AD4827"/>
    <w:rsid w:val="00AD6B6A"/>
    <w:rsid w:val="00AF0048"/>
    <w:rsid w:val="00B041A1"/>
    <w:rsid w:val="00B517FA"/>
    <w:rsid w:val="00B52EF8"/>
    <w:rsid w:val="00B73811"/>
    <w:rsid w:val="00B80D67"/>
    <w:rsid w:val="00B8100F"/>
    <w:rsid w:val="00B96924"/>
    <w:rsid w:val="00BB50C6"/>
    <w:rsid w:val="00C02815"/>
    <w:rsid w:val="00C02FC6"/>
    <w:rsid w:val="00C14D00"/>
    <w:rsid w:val="00C27A44"/>
    <w:rsid w:val="00C321EB"/>
    <w:rsid w:val="00C54069"/>
    <w:rsid w:val="00C57D8D"/>
    <w:rsid w:val="00C6008F"/>
    <w:rsid w:val="00C61CEF"/>
    <w:rsid w:val="00C966E0"/>
    <w:rsid w:val="00CA4A07"/>
    <w:rsid w:val="00CA685C"/>
    <w:rsid w:val="00CC48F2"/>
    <w:rsid w:val="00CC6009"/>
    <w:rsid w:val="00CD616F"/>
    <w:rsid w:val="00D00E9E"/>
    <w:rsid w:val="00D40781"/>
    <w:rsid w:val="00D51257"/>
    <w:rsid w:val="00D634C2"/>
    <w:rsid w:val="00D756B6"/>
    <w:rsid w:val="00D77F6E"/>
    <w:rsid w:val="00D80DE7"/>
    <w:rsid w:val="00DA0796"/>
    <w:rsid w:val="00DA5448"/>
    <w:rsid w:val="00DB6888"/>
    <w:rsid w:val="00DC061C"/>
    <w:rsid w:val="00DD1174"/>
    <w:rsid w:val="00DF071B"/>
    <w:rsid w:val="00E0305B"/>
    <w:rsid w:val="00E22C2C"/>
    <w:rsid w:val="00E36997"/>
    <w:rsid w:val="00E63075"/>
    <w:rsid w:val="00E702BE"/>
    <w:rsid w:val="00E97096"/>
    <w:rsid w:val="00EA0188"/>
    <w:rsid w:val="00EA71D2"/>
    <w:rsid w:val="00EB17B4"/>
    <w:rsid w:val="00ED1550"/>
    <w:rsid w:val="00ED4F9A"/>
    <w:rsid w:val="00ED670F"/>
    <w:rsid w:val="00EE1A37"/>
    <w:rsid w:val="00EE2072"/>
    <w:rsid w:val="00EF79BB"/>
    <w:rsid w:val="00EF7A01"/>
    <w:rsid w:val="00F14EEB"/>
    <w:rsid w:val="00F20307"/>
    <w:rsid w:val="00F21C80"/>
    <w:rsid w:val="00F30300"/>
    <w:rsid w:val="00F676FD"/>
    <w:rsid w:val="00F72514"/>
    <w:rsid w:val="00FA0944"/>
    <w:rsid w:val="00FA1357"/>
    <w:rsid w:val="00FA373C"/>
    <w:rsid w:val="00FA3BD1"/>
    <w:rsid w:val="00FA6947"/>
    <w:rsid w:val="00FB34D2"/>
    <w:rsid w:val="00FB4B17"/>
    <w:rsid w:val="00FC2DCE"/>
    <w:rsid w:val="00FC5860"/>
    <w:rsid w:val="00FD20EC"/>
    <w:rsid w:val="00FD377B"/>
    <w:rsid w:val="00FE7379"/>
    <w:rsid w:val="00FE7AE6"/>
    <w:rsid w:val="00FF2D79"/>
    <w:rsid w:val="00FF517A"/>
    <w:rsid w:val="251509C0"/>
    <w:rsid w:val="38274566"/>
    <w:rsid w:val="3A156C2D"/>
    <w:rsid w:val="4CA444EE"/>
    <w:rsid w:val="4F7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ascii="Times New Roman" w:hAnsi="Times New Roman" w:eastAsia="Microsoft YaHei UI" w:cs="Times New Roman"/>
      <w:kern w:val="2"/>
      <w:sz w:val="22"/>
      <w:szCs w:val="22"/>
      <w:lang w:val="en-US" w:eastAsia="zh-CN" w:bidi="ar-SA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1" Type="http://schemas.openxmlformats.org/officeDocument/2006/relationships/fontTable" Target="fontTable.xml"/><Relationship Id="rId50" Type="http://schemas.openxmlformats.org/officeDocument/2006/relationships/customXml" Target="../customXml/item2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image" Target="media/image26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2.wmf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4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3.bin"/><Relationship Id="rId34" Type="http://schemas.openxmlformats.org/officeDocument/2006/relationships/oleObject" Target="embeddings/oleObject12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9.bin"/><Relationship Id="rId27" Type="http://schemas.openxmlformats.org/officeDocument/2006/relationships/image" Target="media/image16.wmf"/><Relationship Id="rId26" Type="http://schemas.openxmlformats.org/officeDocument/2006/relationships/oleObject" Target="embeddings/oleObject8.bin"/><Relationship Id="rId25" Type="http://schemas.openxmlformats.org/officeDocument/2006/relationships/image" Target="media/image15.wmf"/><Relationship Id="rId24" Type="http://schemas.openxmlformats.org/officeDocument/2006/relationships/oleObject" Target="embeddings/oleObject7.bin"/><Relationship Id="rId23" Type="http://schemas.openxmlformats.org/officeDocument/2006/relationships/image" Target="media/image14.wmf"/><Relationship Id="rId22" Type="http://schemas.openxmlformats.org/officeDocument/2006/relationships/oleObject" Target="embeddings/oleObject6.bin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image" Target="media/image10.wmf"/><Relationship Id="rId16" Type="http://schemas.openxmlformats.org/officeDocument/2006/relationships/oleObject" Target="embeddings/oleObject4.bin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" Type="http://schemas.openxmlformats.org/officeDocument/2006/relationships/image" Target="media/image8.wmf"/><Relationship Id="rId12" Type="http://schemas.openxmlformats.org/officeDocument/2006/relationships/oleObject" Target="embeddings/oleObject2.bin"/><Relationship Id="rId11" Type="http://schemas.openxmlformats.org/officeDocument/2006/relationships/image" Target="media/image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257B75232B38-A165-1FB7-499C-2E1C792CACB5%25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886A1-AD06-40E5-B661-98E6197D8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530</Characters>
  <Lines>51</Lines>
  <Paragraphs>14</Paragraphs>
  <TotalTime>0</TotalTime>
  <ScaleCrop>false</ScaleCrop>
  <LinksUpToDate>false</LinksUpToDate>
  <CharactersWithSpaces>531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2023-02-20T04:28:00Z</dcterms:created>
  <dc:creator>琦</dc:creator>
  <cp:lastModifiedBy>dxx</cp:lastModifiedBy>
  <dcterms:modified xsi:type="dcterms:W3CDTF">2023-04-06T01:26:00Z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797DC99098774DECB54944BBE06C03AA</vt:lpwstr>
  </property>
</Properties>
</file>