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11620500</wp:posOffset>
            </wp:positionH>
            <wp:positionV relativeFrom="topMargin">
              <wp:posOffset>11925300</wp:posOffset>
            </wp:positionV>
            <wp:extent cx="368300" cy="393700"/>
            <wp:effectExtent l="0" t="0" r="12700" b="12700"/>
            <wp:wrapNone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2022年天津市普通高中学业水平等级性考试</w:t>
      </w:r>
    </w:p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生物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本试卷分为第</w:t>
      </w:r>
      <w:r>
        <w:rPr>
          <w:rFonts w:hint="eastAsia" w:ascii="宋体" w:hAnsi="宋体" w:cs="宋体"/>
          <w:b/>
          <w:sz w:val="24"/>
        </w:rPr>
        <w:t>Ⅰ</w:t>
      </w:r>
      <w:r>
        <w:rPr>
          <w:rFonts w:ascii="Times New Roman" w:hAnsi="Times New Roman"/>
          <w:b/>
          <w:sz w:val="24"/>
        </w:rPr>
        <w:t>卷（选择题）和第</w:t>
      </w:r>
      <w:r>
        <w:rPr>
          <w:rFonts w:hint="eastAsia" w:ascii="宋体" w:hAnsi="宋体" w:cs="宋体"/>
          <w:b/>
          <w:sz w:val="24"/>
        </w:rPr>
        <w:t>Ⅱ</w:t>
      </w:r>
      <w:r>
        <w:rPr>
          <w:rFonts w:ascii="Times New Roman" w:hAnsi="Times New Roman"/>
          <w:b/>
          <w:sz w:val="24"/>
        </w:rPr>
        <w:t>卷（非选择题）两部分，共100分，考试用时60分钟。第I卷1至3页，第</w:t>
      </w:r>
      <w:r>
        <w:rPr>
          <w:rFonts w:hint="eastAsia" w:ascii="宋体" w:hAnsi="宋体" w:cs="宋体"/>
          <w:b/>
          <w:sz w:val="24"/>
        </w:rPr>
        <w:t>Ⅱ</w:t>
      </w:r>
      <w:r>
        <w:rPr>
          <w:rFonts w:ascii="Times New Roman" w:hAnsi="Times New Roman"/>
          <w:b/>
          <w:sz w:val="24"/>
        </w:rPr>
        <w:t>卷4至8页。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答卷前，考生务必将自己的姓名、考生号、考场号和座位号填写在答题卡上，并在规定位置粘贴考试用条形码。答卷时，考生务必将答案涂写在答题卡上，答在试卷上的无效。考试结束后，将本试卷和答题卡一并交回。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祝各位考生考试顺利！</w:t>
      </w:r>
    </w:p>
    <w:p>
      <w:pPr>
        <w:spacing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第I卷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注意事项：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1．每题选出答案后，用铅笔将答题卡上对应题目的答案标号涂黑。如需改动，用橡皮擦干净后，再选涂其他答案标号。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2．本卷共12题，每题4分，共48分。在每题给出的四个选项中，只有一项是最符合题目要求的。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1．新冠病毒抗原检测的对象是蛋白质，其基本组成单位是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A．氨基酸                B．核苷酸        C．单糖        D．脂肪酸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2．下列生理过程的完成</w:t>
      </w:r>
      <w:r>
        <w:rPr>
          <w:rFonts w:ascii="Times New Roman" w:hAnsi="Times New Roman"/>
          <w:szCs w:val="21"/>
          <w:em w:val="dot"/>
        </w:rPr>
        <w:t>不需要</w:t>
      </w:r>
      <w:r>
        <w:rPr>
          <w:rFonts w:ascii="Times New Roman" w:hAnsi="Times New Roman"/>
          <w:szCs w:val="21"/>
        </w:rPr>
        <w:t>两者结合的是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A．神经递质作用于突触后膜上的受体        B．抗体作用于相应的抗原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C．Ca</w:t>
      </w:r>
      <w:r>
        <w:rPr>
          <w:rFonts w:ascii="Times New Roman" w:hAnsi="Times New Roman"/>
          <w:szCs w:val="21"/>
          <w:vertAlign w:val="superscript"/>
        </w:rPr>
        <w:t>2+</w:t>
      </w:r>
      <w:r>
        <w:rPr>
          <w:rFonts w:ascii="Times New Roman" w:hAnsi="Times New Roman"/>
          <w:szCs w:val="21"/>
        </w:rPr>
        <w:t>载体蛋白运输Ca</w:t>
      </w:r>
      <w:r>
        <w:rPr>
          <w:rFonts w:ascii="Times New Roman" w:hAnsi="Times New Roman"/>
          <w:szCs w:val="21"/>
          <w:vertAlign w:val="superscript"/>
        </w:rPr>
        <w:t>2+</w:t>
      </w:r>
      <w:r>
        <w:rPr>
          <w:rFonts w:ascii="Times New Roman" w:hAnsi="Times New Roman"/>
          <w:szCs w:val="21"/>
        </w:rPr>
        <w:t xml:space="preserve">                  D．K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通道蛋白运输K</w:t>
      </w:r>
      <w:r>
        <w:rPr>
          <w:rFonts w:ascii="Times New Roman" w:hAnsi="Times New Roman"/>
          <w:szCs w:val="21"/>
          <w:vertAlign w:val="superscript"/>
        </w:rPr>
        <w:t>+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3．下图所示实验方法的应用或原理，</w:t>
      </w:r>
      <w:r>
        <w:rPr>
          <w:rFonts w:ascii="Times New Roman" w:hAnsi="Times New Roman"/>
          <w:szCs w:val="21"/>
          <w:em w:val="dot"/>
        </w:rPr>
        <w:t>不恰当</w:t>
      </w:r>
      <w:r>
        <w:rPr>
          <w:rFonts w:ascii="Times New Roman" w:hAnsi="Times New Roman"/>
          <w:szCs w:val="21"/>
        </w:rPr>
        <w:t>的是</w:t>
      </w:r>
      <w:r>
        <w:rPr>
          <w:rFonts w:hint="eastAsia" w:ascii="Times New Roman" w:hAnsi="Times New Roman"/>
          <w:szCs w:val="21"/>
        </w:rPr>
        <w:t>（    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339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8" w:type="dxa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实验方法</w:t>
            </w:r>
          </w:p>
        </w:tc>
        <w:tc>
          <w:tcPr>
            <w:tcW w:w="3398" w:type="dxa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应用</w:t>
            </w:r>
          </w:p>
        </w:tc>
        <w:tc>
          <w:tcPr>
            <w:tcW w:w="3398" w:type="dxa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8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drawing>
                <wp:inline distT="0" distB="0" distL="0" distR="0">
                  <wp:extent cx="818515" cy="847090"/>
                  <wp:effectExtent l="0" t="0" r="63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48" cy="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A．分离绿叶中的色素</w:t>
            </w:r>
          </w:p>
        </w:tc>
        <w:tc>
          <w:tcPr>
            <w:tcW w:w="3398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B．不同色素在层析液中溶解度不同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8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drawing>
                <wp:inline distT="0" distB="0" distL="0" distR="0">
                  <wp:extent cx="1332865" cy="789940"/>
                  <wp:effectExtent l="0" t="0" r="63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3" cy="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C．细菌计数</w:t>
            </w:r>
          </w:p>
        </w:tc>
        <w:tc>
          <w:tcPr>
            <w:tcW w:w="3398" w:type="dxa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D．逐步稀释</w:t>
            </w:r>
          </w:p>
        </w:tc>
      </w:tr>
    </w:tbl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A．A       B．B          C．C      D．D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．天津市针对甘肃古浪县水资源短缺现状，实施“农业水利现代化与智慧灌溉技术帮扶项目”，通过水肥一体化智慧灌溉和高标准农田建设，助力落实国家“药肥双减”目标，实现乡村全面振兴。项目需遵循一定生态学原理。下列原理</w:t>
      </w:r>
      <w:r>
        <w:rPr>
          <w:rFonts w:ascii="Times New Roman" w:hAnsi="Times New Roman"/>
          <w:szCs w:val="21"/>
          <w:em w:val="dot"/>
        </w:rPr>
        <w:t>有误</w:t>
      </w:r>
      <w:r>
        <w:rPr>
          <w:rFonts w:ascii="Times New Roman" w:hAnsi="Times New Roman"/>
          <w:szCs w:val="21"/>
        </w:rPr>
        <w:t>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A．人工生态系统具有一定自我调节能力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B．项目实施可促进生态系统的物质与能量循环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C．对人类利用强度较大的生态系统，应给予相应的物质投入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D．根据实际需要，合理使用水肥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5．小鼠A</w:t>
      </w:r>
      <w:r>
        <w:rPr>
          <w:rFonts w:ascii="Times New Roman" w:hAnsi="Times New Roman"/>
          <w:szCs w:val="21"/>
          <w:vertAlign w:val="superscript"/>
        </w:rPr>
        <w:t>vy</w:t>
      </w:r>
      <w:r>
        <w:rPr>
          <w:rFonts w:ascii="Times New Roman" w:hAnsi="Times New Roman"/>
          <w:szCs w:val="21"/>
        </w:rPr>
        <w:t>基因控制黄色体毛，该基因上游不同程度的甲基化修饰会导致其表达受不同程度抑制，使小鼠毛色发生可遗传的改变。有关叙述正确的是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A．A</w:t>
      </w:r>
      <w:r>
        <w:rPr>
          <w:rFonts w:ascii="Times New Roman" w:hAnsi="Times New Roman"/>
          <w:szCs w:val="21"/>
          <w:vertAlign w:val="superscript"/>
        </w:rPr>
        <w:t>vy</w:t>
      </w:r>
      <w:r>
        <w:rPr>
          <w:rFonts w:ascii="Times New Roman" w:hAnsi="Times New Roman"/>
          <w:szCs w:val="21"/>
        </w:rPr>
        <w:t>基因的碱基序列保持不变                    B．甲基化促进A</w:t>
      </w:r>
      <w:r>
        <w:rPr>
          <w:rFonts w:ascii="Times New Roman" w:hAnsi="Times New Roman"/>
          <w:szCs w:val="21"/>
          <w:vertAlign w:val="superscript"/>
        </w:rPr>
        <w:t>vy</w:t>
      </w:r>
      <w:r>
        <w:rPr>
          <w:rFonts w:ascii="Times New Roman" w:hAnsi="Times New Roman"/>
          <w:szCs w:val="21"/>
        </w:rPr>
        <w:t>基因的转录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C．甲基化导致A</w:t>
      </w:r>
      <w:r>
        <w:rPr>
          <w:rFonts w:ascii="Times New Roman" w:hAnsi="Times New Roman"/>
          <w:szCs w:val="21"/>
          <w:vertAlign w:val="superscript"/>
        </w:rPr>
        <w:t>vy</w:t>
      </w:r>
      <w:r>
        <w:rPr>
          <w:rFonts w:ascii="Times New Roman" w:hAnsi="Times New Roman"/>
          <w:szCs w:val="21"/>
        </w:rPr>
        <w:t>基因编码的蛋白质结构改变        D．甲基化修饰不可遗传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6．用荧光标记技术显示细胞中心体和DNA，获得有丝分裂某时期荧光图。有关叙述正确的是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spacing w:line="288" w:lineRule="auto"/>
        <w:jc w:val="left"/>
        <w:rPr>
          <w:rFonts w:hint="eastAsia" w:ascii="Times New Roman" w:hAnsi="Times New Roman"/>
          <w:szCs w:val="21"/>
        </w:rPr>
      </w:pPr>
      <w:r>
        <w:drawing>
          <wp:inline distT="0" distB="0" distL="0" distR="0">
            <wp:extent cx="2533015" cy="152336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A．中心体复制和染色体加倍均发生在图示时期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B．图中两处DNA荧光标记区域均无同源染色体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C．图中细胞分裂方向由中心体位置确定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D．秋水仙素可促使细胞进入图示分裂时期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7．蝙蝠是现存携带病毒较多的夜行性哺乳动物，这与其高体温（40</w:t>
      </w:r>
      <w:r>
        <w:rPr>
          <w:rFonts w:hint="eastAsia" w:ascii="宋体" w:hAnsi="宋体" w:cs="宋体"/>
          <w:szCs w:val="21"/>
        </w:rPr>
        <w:t>℃</w:t>
      </w:r>
      <w:r>
        <w:rPr>
          <w:rFonts w:ascii="Times New Roman" w:hAnsi="Times New Roman"/>
          <w:szCs w:val="21"/>
        </w:rPr>
        <w:t>）和强大的基因修复功能有关。关于蝙蝠与其携带的病毒，下列叙述</w:t>
      </w:r>
      <w:r>
        <w:rPr>
          <w:rFonts w:ascii="Times New Roman" w:hAnsi="Times New Roman"/>
          <w:szCs w:val="21"/>
          <w:em w:val="dot"/>
        </w:rPr>
        <w:t>错误</w:t>
      </w:r>
      <w:r>
        <w:rPr>
          <w:rFonts w:ascii="Times New Roman" w:hAnsi="Times New Roman"/>
          <w:szCs w:val="21"/>
        </w:rPr>
        <w:t>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A．高温利于提高病毒对蝙蝠的致病性        B．病毒有潜在破坏蝙蝠基因的能力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C．病毒与蝙蝠之间存在寄生关系            D．病毒与蝙蝠协同进化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8．日常生活中有许多说法，下列说法有科学依据的是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A．食用含有植物生长素的水果，植物生长素会促进儿童性腺过早发育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B．酸奶胀袋是乳酸菌发酵产生CO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造成的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C．食用没有甜味的面食，不会引起餐后血糖升高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D．接种疫苗预防相应传染病，是以减毒或无毒的病原体抗原激活特异性免疫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9．染色体架起了基因和性状之间的桥梁。有关叙述正确的是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A．性状都是由染色体上的基因控制的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B．相对性状分离是由同源染色体上的等位基因分离导致的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C．不同性状自由组合是由同源染色体上的非等位基因自由组合导致的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D．可遗传的性状改变都是由染色体上的基因突变导致的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阅读下列材料，回答10～12题。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动脉血压是指血液对动脉管壁产生的压力。人体动脉血压有多种调节方式，如：当动脉血压升高时，会刺激血管壁内的压力感受器兴奋，神经冲动传入中枢神经系统后，通过交感神经和副交感神经调节心脏、血管活动及肾上腺髓质所分泌的激素水平，最终血压回降。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动脉血压高于正常值即形成高血压。高血压病的发病机制复杂，可能包括：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（1）水钠潴留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水钠潴留指水和钠滞留于内环境。长期摄入过量的钠使机体对水钠平衡的调节作用减弱，可导致水钠潴留。慢性肾功能不全的患者水钠排出减少，重吸收增加，也会引起水钠潴留。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（2）肾素—血管紧张素—醛固酮系统（RAAS）过度激活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RAAS是人体重要的体液调节系统。肾素可催化血管紧张素原生成血管紧张素</w:t>
      </w:r>
      <w:r>
        <w:rPr>
          <w:rFonts w:hint="eastAsia" w:ascii="宋体" w:hAnsi="宋体" w:cs="宋体"/>
          <w:szCs w:val="21"/>
        </w:rPr>
        <w:t>Ⅰ</w:t>
      </w:r>
      <w:r>
        <w:rPr>
          <w:rFonts w:ascii="Times New Roman" w:hAnsi="Times New Roman"/>
          <w:szCs w:val="21"/>
        </w:rPr>
        <w:t>，血管紧张素</w:t>
      </w:r>
      <w:r>
        <w:rPr>
          <w:rFonts w:hint="eastAsia" w:ascii="宋体" w:hAnsi="宋体" w:cs="宋体"/>
          <w:szCs w:val="21"/>
        </w:rPr>
        <w:t>Ⅰ</w:t>
      </w:r>
      <w:r>
        <w:rPr>
          <w:rFonts w:ascii="Times New Roman" w:hAnsi="Times New Roman"/>
          <w:szCs w:val="21"/>
        </w:rPr>
        <w:t>在血管紧张素转换酶的作用下生成血管紧张素</w:t>
      </w:r>
      <w:r>
        <w:rPr>
          <w:rFonts w:hint="eastAsia" w:ascii="宋体" w:hAnsi="宋体" w:cs="宋体"/>
          <w:szCs w:val="21"/>
        </w:rPr>
        <w:t>Ⅱ</w:t>
      </w:r>
      <w:r>
        <w:rPr>
          <w:rFonts w:ascii="Times New Roman" w:hAnsi="Times New Roman"/>
          <w:szCs w:val="21"/>
        </w:rPr>
        <w:t>。血管紧张素</w:t>
      </w:r>
      <w:r>
        <w:rPr>
          <w:rFonts w:hint="eastAsia" w:ascii="宋体" w:hAnsi="宋体" w:cs="宋体"/>
          <w:szCs w:val="21"/>
        </w:rPr>
        <w:t>Ⅱ</w:t>
      </w:r>
      <w:r>
        <w:rPr>
          <w:rFonts w:ascii="Times New Roman" w:hAnsi="Times New Roman"/>
          <w:szCs w:val="21"/>
        </w:rPr>
        <w:t>具有多种生理效应，最主要的是使血管收缩导致血压升高，此外还可刺激醛固酮分泌。醛固酮可促进钠的重吸收。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（3）交感神经系統活性增强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肾交感神经活性增强既可促使肾素释放，激活RAAS，又可减弱肾排钠能力。此外，交感神经还可激活肾脏T细胞，导致肾脏损伤、肾功能不全。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10．下列关于压力感受节动脉血压的说法，</w:t>
      </w:r>
      <w:r>
        <w:rPr>
          <w:rFonts w:ascii="Times New Roman" w:hAnsi="Times New Roman"/>
          <w:szCs w:val="21"/>
          <w:em w:val="dot"/>
        </w:rPr>
        <w:t>错误</w:t>
      </w:r>
      <w:r>
        <w:rPr>
          <w:rFonts w:ascii="Times New Roman" w:hAnsi="Times New Roman"/>
          <w:szCs w:val="21"/>
        </w:rPr>
        <w:t>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A．感受器可将压力信号转化为电信号        B．传出神经属于自主神经系统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C．调节过程不存在体液调节                D．调节机制为负反馈调节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11．下列哪种因素</w:t>
      </w:r>
      <w:r>
        <w:rPr>
          <w:rFonts w:ascii="Times New Roman" w:hAnsi="Times New Roman"/>
          <w:szCs w:val="21"/>
          <w:em w:val="dot"/>
        </w:rPr>
        <w:t>不会</w:t>
      </w:r>
      <w:r>
        <w:rPr>
          <w:rFonts w:ascii="Times New Roman" w:hAnsi="Times New Roman"/>
          <w:szCs w:val="21"/>
        </w:rPr>
        <w:t>导致水钠潴留</w:t>
      </w:r>
      <w:r>
        <w:rPr>
          <w:rFonts w:hint="eastAsia" w:ascii="Times New Roman" w:hAnsi="Times New Roman"/>
          <w:szCs w:val="21"/>
        </w:rPr>
        <w:t>（    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A．长期摄入过量钠        B．血管紧张素</w:t>
      </w:r>
      <w:r>
        <w:rPr>
          <w:rFonts w:hint="eastAsia" w:ascii="宋体" w:hAnsi="宋体" w:cs="宋体"/>
          <w:szCs w:val="21"/>
        </w:rPr>
        <w:t>Ⅱ</w:t>
      </w:r>
      <w:r>
        <w:rPr>
          <w:rFonts w:ascii="Times New Roman" w:hAnsi="Times New Roman"/>
          <w:szCs w:val="21"/>
        </w:rPr>
        <w:t>引起的血管收缩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C．醛固酮过度分泌        D．肾功能不全、排钠能力下降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12．下列哪项药物或疗法在高血压病的治疗中是</w:t>
      </w:r>
      <w:r>
        <w:rPr>
          <w:rFonts w:ascii="Times New Roman" w:hAnsi="Times New Roman"/>
          <w:szCs w:val="21"/>
          <w:em w:val="dot"/>
        </w:rPr>
        <w:t>不合理</w:t>
      </w:r>
      <w:r>
        <w:rPr>
          <w:rFonts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1"/>
        </w:rPr>
        <w:t>（    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A．抗利尿激素              B．血管紧张素转换酶抑制剂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C．醛固酮受体抑制剂        D．降低肾交感神经兴奋性的疗法</w:t>
      </w:r>
    </w:p>
    <w:p>
      <w:pPr>
        <w:spacing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</w:t>
      </w:r>
      <w:r>
        <w:rPr>
          <w:rFonts w:hint="eastAsia" w:ascii="宋体" w:hAnsi="宋体" w:cs="宋体"/>
          <w:b/>
          <w:sz w:val="24"/>
        </w:rPr>
        <w:t>Ⅱ</w:t>
      </w:r>
      <w:r>
        <w:rPr>
          <w:rFonts w:ascii="Times New Roman" w:hAnsi="Times New Roman"/>
          <w:b/>
          <w:sz w:val="24"/>
        </w:rPr>
        <w:t>卷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注意事项：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1．用黑色墨水的钢笔或签字笔将答案写在答题卡上。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2．本卷共5题，共52分。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13．为研究河流中石块上微生物群落的演替，将灭菌后的裸石置于河流中，统计裸石上不同时间新增物种数木（图1）、自养类群和异养类群的个体数量（A和H分别代表白养和异养类群的优势种）（图2）。</w:t>
      </w:r>
    </w:p>
    <w:p>
      <w:pPr>
        <w:spacing w:line="288" w:lineRule="auto"/>
        <w:jc w:val="left"/>
        <w:rPr>
          <w:rFonts w:hint="eastAsia" w:ascii="Times New Roman" w:hAnsi="Times New Roman"/>
          <w:szCs w:val="21"/>
        </w:rPr>
      </w:pPr>
      <w:r>
        <w:drawing>
          <wp:inline distT="0" distB="0" distL="0" distR="0">
            <wp:extent cx="6336030" cy="2149475"/>
            <wp:effectExtent l="0" t="0" r="762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（1）裸石上发生的群落演替类型为____________________。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（2）由图1可知，演替的前120天，生长在裸石上的物种总数__________（增加∕减少），之后，演替趋于稳定。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（3）由图2可知，演替稳定后，优势种A的环境容纳量与演替初期相比__________（变大∕变小）。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（4）已知自养类群为异养类群提供有机碳，演替达到稳定后，两者的数量金字塔是_____（正∕倒）金字塔形，能量金字塔是_____（正∕倒）金字塔形。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（5）当试验裸石上的演替稳定后，其群落结构应与周围类似石块上已稳定存在的群落结构相似，原因是两者所处的_______________相似。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14．为研究高脂饮食与肠道菌群及糖脂代谢的关系，进行如下试验：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（1）建立糖脂代谢紊乱大鼠模型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将20只大鼠随机平分为2组，分别饲喂高脂饲料（HFD组）和普通饲料（ND组）16周。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检测空腹血相关生理指标，结果如下表。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039"/>
        <w:gridCol w:w="2039"/>
        <w:gridCol w:w="2039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8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组别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总胆固醇（mmol∕L）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甘油三酯（mmol∕L）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血糖（mmol∕L）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胰岛素（mmol∕L）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  <w:r>
              <w:rPr>
                <w:rFonts w:hint="eastAsia" w:ascii="Times New Roman" w:hAnsi="Times New Roman"/>
                <w:szCs w:val="21"/>
              </w:rPr>
              <w:t>组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1.56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0.63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5.58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HFD</w:t>
            </w:r>
            <w:r>
              <w:rPr>
                <w:rFonts w:hint="eastAsia" w:ascii="Times New Roman" w:hAnsi="Times New Roman"/>
                <w:szCs w:val="21"/>
              </w:rPr>
              <w:t>组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2.59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1.65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7.28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15.11</w:t>
            </w:r>
          </w:p>
        </w:tc>
      </w:tr>
    </w:tbl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与ND组相比，HFD组____________________偏高，说明脂代谢紊乱，其他数据说明糖代谢紊乱，提示造模成功。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检测粪便中4种典型细菌的含量，结果如下图。</w:t>
      </w:r>
    </w:p>
    <w:p>
      <w:pPr>
        <w:spacing w:line="288" w:lineRule="auto"/>
        <w:jc w:val="left"/>
        <w:rPr>
          <w:rFonts w:hint="eastAsia" w:ascii="Times New Roman" w:hAnsi="Times New Roman"/>
          <w:szCs w:val="21"/>
        </w:rPr>
      </w:pPr>
      <w:r>
        <w:drawing>
          <wp:inline distT="0" distB="0" distL="0" distR="0">
            <wp:extent cx="3285490" cy="17424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HFD组粪便中乳杆菌、双歧杆菌相对含量__________（增加∕减少）。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探究肠道菌群对糖脂代谢的影响另取20只大鼠，喂以含_______________的饮用水杀灭肠道中原有细菌，建立肠道无菌大鼠模型。分别收集（1）试验结束时HFD组和ND组粪便，制备成粪菌液，分别移植到无菌大鼠体内，建立移植HFD肠菌组和移植ND肠菌组，均饲喂高脂饲料8周。检测空腹血相关生理指标，结果如下表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039"/>
        <w:gridCol w:w="2039"/>
        <w:gridCol w:w="2039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8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组别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总胆固醇（mmol∕L）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甘油三酯（mmol∕L）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血糖（mmol∕L）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胰岛素（mmol∕L）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8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移植ND肠菌组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1.86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0.96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6.48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8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移植HFD肠菌组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2.21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1.28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6.94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13.68</w:t>
            </w:r>
          </w:p>
        </w:tc>
      </w:tr>
    </w:tbl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该试验的自变量为_______________，结果显示两组均发生糖脂代谢紊乱，组间差异说明高脂饮食大鼠的肠道菌群可__________（加剧∕缓解）高脂饮食条件下的糖脂代谢紊乱。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（3）基于本研究的结果，为了缓解糖脂代谢紊乱，请说明可以采取的策略。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____________________________________________________________________________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15．研究者拟构建高效筛选系统，将改进的苯丙氨酸合成关键酶基因P1导入谷氨酸棒杆菌，以提高苯丙氨酸产量。</w:t>
      </w:r>
    </w:p>
    <w:p>
      <w:pPr>
        <w:spacing w:line="288" w:lineRule="auto"/>
        <w:jc w:val="left"/>
        <w:rPr>
          <w:rFonts w:hint="eastAsia" w:ascii="Times New Roman" w:hAnsi="Times New Roman"/>
          <w:szCs w:val="21"/>
        </w:rPr>
      </w:pPr>
      <w:r>
        <w:drawing>
          <wp:inline distT="0" distB="0" distL="0" distR="0">
            <wp:extent cx="2818765" cy="3866515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3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（1）右图是该高效筛选系统载体的构建过程。载体1中含有Kan</w:t>
      </w:r>
      <w:r>
        <w:rPr>
          <w:rFonts w:ascii="Times New Roman" w:hAnsi="Times New Roman"/>
          <w:szCs w:val="21"/>
          <w:vertAlign w:val="superscript"/>
        </w:rPr>
        <w:t>R</w:t>
      </w:r>
      <w:r>
        <w:rPr>
          <w:rFonts w:ascii="Times New Roman" w:hAnsi="Times New Roman"/>
          <w:szCs w:val="21"/>
        </w:rPr>
        <w:t>（卡那霉素抗性基因）和SacB两个标记基因，为去除筛选效率较低的SacB，应选择引物________和________，并在引物的________（5＇∕3＇）端引入Xho</w:t>
      </w:r>
      <w:r>
        <w:rPr>
          <w:rFonts w:hint="eastAsia" w:ascii="宋体" w:hAnsi="宋体" w:cs="宋体"/>
          <w:szCs w:val="21"/>
        </w:rPr>
        <w:t>Ⅰ</w:t>
      </w:r>
      <w:r>
        <w:rPr>
          <w:rFonts w:ascii="Times New Roman" w:hAnsi="Times New Roman"/>
          <w:szCs w:val="21"/>
        </w:rPr>
        <w:t>酶识别序列，进行PCR扩增，产物经酶切、连接后环化成载体2。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（2）PCR扩增载体3中筛选效率较高的标记基因RpsL（链霉素敏感基因）时，引物应包含___________（EcoR</w:t>
      </w:r>
      <w:r>
        <w:rPr>
          <w:rFonts w:hint="eastAsia" w:ascii="宋体" w:hAnsi="宋体" w:cs="宋体"/>
          <w:szCs w:val="21"/>
        </w:rPr>
        <w:t>Ⅰ</w:t>
      </w:r>
      <w:r>
        <w:rPr>
          <w:rFonts w:ascii="Times New Roman" w:hAnsi="Times New Roman"/>
          <w:szCs w:val="21"/>
        </w:rPr>
        <w:t>∕Hind</w:t>
      </w:r>
      <w:r>
        <w:rPr>
          <w:rFonts w:hint="eastAsia" w:ascii="宋体" w:hAnsi="宋体" w:cs="宋体"/>
          <w:szCs w:val="21"/>
        </w:rPr>
        <w:t>Ⅲ</w:t>
      </w:r>
      <w:r>
        <w:rPr>
          <w:rFonts w:ascii="Times New Roman" w:hAnsi="Times New Roman"/>
          <w:szCs w:val="21"/>
        </w:rPr>
        <w:t>∕Xho</w:t>
      </w:r>
      <w:r>
        <w:rPr>
          <w:rFonts w:hint="eastAsia" w:ascii="宋体" w:hAnsi="宋体" w:cs="宋体"/>
          <w:szCs w:val="21"/>
        </w:rPr>
        <w:t>Ⅰ</w:t>
      </w:r>
      <w:r>
        <w:rPr>
          <w:rFonts w:ascii="Times New Roman" w:hAnsi="Times New Roman"/>
          <w:szCs w:val="21"/>
        </w:rPr>
        <w:t>）酶识别序列，产物经单酶切后连接到载体2构建高效筛选载体4。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（3）将改进的P1基因整合到载体4构建载体5。将载体5导入链霉素不敏感（由RpsL突变造成）、卡那霉素敏感的受体菌。为获得成功导入载体5的菌株，应采用含有__________的平板进行初步筛选。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（4）用一定的方法筛选出如下菌株：P1基因脱离载体5并整合到受体菌拟核DNA，且载体5上其他DNA片段全部丢失。该菌的表型为__________。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A．卡那霉素不敏感、链霉素敏感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B．卡那霉素敏感、链霉素不敏感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C．卡那霉素和链霉素都敏感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D．卡那霉素和链霉素都不敏感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（5）可采用__________技术鉴定成功整合P1基因的菌株。之后以发酵法检测苯丙氨酸产量。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16．利用蓝细菌将CO2转化为工业原料，有助于实现“双碳”目标。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（1）蓝细菌是原核生物，细胞质中同时含有ATP、NADPH、NADH（呼吸过程中产生的[H]）和丙酮酸等中间代谢物。ATP来源于__________和__________等生理过程，为各项生命活动提供能量。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（2）蓝细菌可通过D—乳酸脱氢酶（Ldh），利用NADH将丙酮酸还原为D—乳酸这种重要的工业原料。研究者构建了大量表达外源Ldh基因的工程蓝细菌，以期提高D—乳酸产量，但结果并不理想。分析发现，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是由于细胞质中的NADH被大量用于_______________作用产生ATP，无法为Ldh提供充足的NADH。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蓝细菌还存在一种只产生ATP不参与水光解的光合作用途径。研究者构建了该途径被强化的工程菌K，以补充ATP产量，使更多NADH用于生成D—乳酸。测定初始蓝细菌、工程菌K中细胞质ATP、NADH和NADPH含量，结果如下表。</w:t>
      </w:r>
    </w:p>
    <w:p>
      <w:pPr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注：数据单位为pmol∕OD730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548"/>
        <w:gridCol w:w="254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8" w:type="dxa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菌株</w:t>
            </w:r>
          </w:p>
        </w:tc>
        <w:tc>
          <w:tcPr>
            <w:tcW w:w="2548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ATP</w:t>
            </w:r>
          </w:p>
        </w:tc>
        <w:tc>
          <w:tcPr>
            <w:tcW w:w="2549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NADH</w:t>
            </w:r>
          </w:p>
        </w:tc>
        <w:tc>
          <w:tcPr>
            <w:tcW w:w="2549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NADPH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8" w:type="dxa"/>
          </w:tcPr>
          <w:p>
            <w:pPr>
              <w:spacing w:line="288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初始蓝细菌</w:t>
            </w:r>
          </w:p>
        </w:tc>
        <w:tc>
          <w:tcPr>
            <w:tcW w:w="2548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626</w:t>
            </w:r>
          </w:p>
        </w:tc>
        <w:tc>
          <w:tcPr>
            <w:tcW w:w="2549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2549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8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工程菌K</w:t>
            </w:r>
          </w:p>
        </w:tc>
        <w:tc>
          <w:tcPr>
            <w:tcW w:w="2548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829</w:t>
            </w:r>
          </w:p>
        </w:tc>
        <w:tc>
          <w:tcPr>
            <w:tcW w:w="2549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</w:t>
            </w:r>
          </w:p>
        </w:tc>
        <w:tc>
          <w:tcPr>
            <w:tcW w:w="2549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49</w:t>
            </w:r>
          </w:p>
        </w:tc>
      </w:tr>
    </w:tbl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由表可知，与初始蓝细菌相比，工程菌K的ATP含量升高，且有氧呼吸第三阶段__________（被抑制∕被促进∕不受影响），光反应中的水光解__________（被抑制∕被促进∕不受影响）。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（4）研究人员进一步把Ldh基因引入工程菌K中，构建工程菌L。与初始蓝细菌相比，工程菌L能积累更多D—乳酸，是因为其__________（双选）。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A．光合作用产生了更多ATP                B．光合作用产生了更多NADPH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C．有氧呼吸第三阶段产生了更多ATP        D．有氧呼吸第三阶段节省了更多NADH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17．α地中海贫血是一种常染色体遗传病，可由α2珠蛋白基因变异导致，常见变异类型有基因缺失型和碱基替换突变型。现发现一例患者，疑似携带罕见α2基因变异，对其家系α2基因进行</w:t>
      </w:r>
      <w:r>
        <w:rPr>
          <w:rFonts w:hint="eastAsia" w:ascii="Times New Roman" w:hAnsi="Times New Roman"/>
          <w:szCs w:val="21"/>
        </w:rPr>
        <w:t>分析</w:t>
      </w:r>
      <w:r>
        <w:rPr>
          <w:rFonts w:ascii="Times New Roman" w:hAnsi="Times New Roman"/>
          <w:szCs w:val="21"/>
        </w:rPr>
        <w:t>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检测碱基替换突变，发现祖母不携带碱基替换突变；母亲的α2基因仅含一个单碱基替换突变，该变异基因可记录为“α</w:t>
      </w:r>
      <w:r>
        <w:rPr>
          <w:rFonts w:ascii="Times New Roman" w:hAnsi="Times New Roman"/>
          <w:szCs w:val="21"/>
          <w:vertAlign w:val="superscript"/>
        </w:rPr>
        <w:t>W</w:t>
      </w:r>
      <w:r>
        <w:rPr>
          <w:rFonts w:ascii="Times New Roman" w:hAnsi="Times New Roman"/>
          <w:szCs w:val="21"/>
        </w:rPr>
        <w:t>”。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检测有无α2基因缺失，电泳结果如下图。</w:t>
      </w:r>
    </w:p>
    <w:p>
      <w:pPr>
        <w:spacing w:line="288" w:lineRule="auto"/>
        <w:jc w:val="left"/>
        <w:rPr>
          <w:rFonts w:hint="eastAsia" w:ascii="Times New Roman" w:hAnsi="Times New Roman"/>
          <w:szCs w:val="21"/>
        </w:rPr>
      </w:pPr>
      <w:r>
        <w:drawing>
          <wp:inline distT="0" distB="0" distL="0" distR="0">
            <wp:extent cx="3916680" cy="119062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8938" cy="119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注：1．7kb条带表示有α2基因，1．4kb条带表示无α2基因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（1）将缺失型变异记录为“—”，正常α2基因记录为“α”，则祖母的基因型可记录为“—∕α”。仿此，母亲的基因型可记录为_______________。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（2）经鉴定，患者确携带一罕见α2基因变异，将该变异基因记录为“α</w:t>
      </w:r>
      <w:r>
        <w:rPr>
          <w:rFonts w:ascii="Times New Roman" w:hAnsi="Times New Roman"/>
          <w:szCs w:val="21"/>
          <w:vertAlign w:val="superscript"/>
        </w:rPr>
        <w:t>X</w:t>
      </w:r>
      <w:r>
        <w:rPr>
          <w:rFonts w:ascii="Times New Roman" w:hAnsi="Times New Roman"/>
          <w:szCs w:val="21"/>
        </w:rPr>
        <w:t>”，则其基因型可记录为“—∕α</w:t>
      </w:r>
      <w:r>
        <w:rPr>
          <w:rFonts w:ascii="Times New Roman" w:hAnsi="Times New Roman"/>
          <w:szCs w:val="21"/>
          <w:vertAlign w:val="superscript"/>
        </w:rPr>
        <w:t>X</w:t>
      </w:r>
      <w:r>
        <w:rPr>
          <w:rFonts w:ascii="Times New Roman" w:hAnsi="Times New Roman"/>
          <w:szCs w:val="21"/>
        </w:rPr>
        <w:t>”。α</w:t>
      </w:r>
      <w:r>
        <w:rPr>
          <w:rFonts w:ascii="Times New Roman" w:hAnsi="Times New Roman"/>
          <w:szCs w:val="21"/>
          <w:vertAlign w:val="superscript"/>
        </w:rPr>
        <w:t>X</w:t>
      </w:r>
      <w:r>
        <w:rPr>
          <w:rFonts w:ascii="Times New Roman" w:hAnsi="Times New Roman"/>
          <w:szCs w:val="21"/>
        </w:rPr>
        <w:t>属于__________（缺失型∕非缺失型）变异。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（3）患者有一妹妹，经鉴定，基因型为“α</w:t>
      </w:r>
      <w:r>
        <w:rPr>
          <w:rFonts w:ascii="Times New Roman" w:hAnsi="Times New Roman"/>
          <w:szCs w:val="21"/>
          <w:vertAlign w:val="superscript"/>
        </w:rPr>
        <w:t>X</w:t>
      </w:r>
      <w:r>
        <w:rPr>
          <w:rFonts w:ascii="Times New Roman" w:hAnsi="Times New Roman"/>
          <w:szCs w:val="21"/>
        </w:rPr>
        <w:t>∕α</w:t>
      </w:r>
      <w:r>
        <w:rPr>
          <w:rFonts w:ascii="Times New Roman" w:hAnsi="Times New Roman"/>
          <w:szCs w:val="21"/>
          <w:vertAlign w:val="superscript"/>
        </w:rPr>
        <w:t>W</w:t>
      </w:r>
      <w:r>
        <w:rPr>
          <w:rFonts w:ascii="Times New Roman" w:hAnsi="Times New Roman"/>
          <w:szCs w:val="21"/>
        </w:rPr>
        <w:t>”，请在上图虚线框中画出其在基因缺失型变异检测中的电泳图谱。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（4）患者还有一哥哥，未进行基因检测。他与基因型为“—∕α</w:t>
      </w:r>
      <w:r>
        <w:rPr>
          <w:rFonts w:ascii="Times New Roman" w:hAnsi="Times New Roman"/>
          <w:szCs w:val="21"/>
          <w:vertAlign w:val="superscript"/>
        </w:rPr>
        <w:t>W</w:t>
      </w:r>
      <w:r>
        <w:rPr>
          <w:rFonts w:ascii="Times New Roman" w:hAnsi="Times New Roman"/>
          <w:szCs w:val="21"/>
        </w:rPr>
        <w:t>”的女性结婚，生育一孩，理论上该孩基因型为“—∕α</w:t>
      </w:r>
      <w:r>
        <w:rPr>
          <w:rFonts w:ascii="Times New Roman" w:hAnsi="Times New Roman"/>
          <w:szCs w:val="21"/>
          <w:vertAlign w:val="superscript"/>
        </w:rPr>
        <w:t>W</w:t>
      </w:r>
      <w:r>
        <w:rPr>
          <w:rFonts w:ascii="Times New Roman" w:hAnsi="Times New Roman"/>
          <w:szCs w:val="21"/>
        </w:rPr>
        <w:t>”的概率为__________。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</w:p>
    <w:p>
      <w:pPr>
        <w:spacing w:line="288" w:lineRule="auto"/>
        <w:jc w:val="left"/>
        <w:rPr>
          <w:rFonts w:ascii="Times New Roman" w:hAnsi="Times New Roman"/>
          <w:szCs w:val="21"/>
        </w:rPr>
      </w:pPr>
    </w:p>
    <w:p>
      <w:pPr>
        <w:spacing w:line="288" w:lineRule="auto"/>
        <w:jc w:val="left"/>
        <w:rPr>
          <w:rFonts w:ascii="Times New Roman" w:hAnsi="Times New Roman"/>
          <w:szCs w:val="21"/>
        </w:rPr>
      </w:pPr>
    </w:p>
    <w:p>
      <w:pPr>
        <w:spacing w:line="288" w:lineRule="auto"/>
        <w:jc w:val="left"/>
        <w:rPr>
          <w:rFonts w:ascii="Times New Roman" w:hAnsi="Times New Roman"/>
          <w:szCs w:val="21"/>
        </w:rPr>
      </w:pPr>
    </w:p>
    <w:p>
      <w:pPr>
        <w:spacing w:line="288" w:lineRule="auto"/>
        <w:jc w:val="left"/>
        <w:rPr>
          <w:rFonts w:ascii="Times New Roman" w:hAnsi="Times New Roman"/>
          <w:szCs w:val="21"/>
        </w:rPr>
      </w:pPr>
    </w:p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2022年天津市普通高中学业水平等级性考试</w:t>
      </w:r>
    </w:p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生物学参考答案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1．A    2．D    3．C    4．B    5．A    6．C    7．A    8．D    9．B    10．C    11．B    12．A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13．（1）初生演替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（2）增加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（3）变小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（4）倒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>正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（5）环境条件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14．（1）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总胆固醇、甘油三酯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减少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（2）抗生素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移植的肠道菌群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加剧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（3）避免高脂饮食∕设法增加肠道乳杆菌、双歧杆菌含量（写出一项即给分）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15．（1）1    4（以上两空可调换）</w:t>
      </w:r>
      <w:r>
        <w:rPr>
          <w:rFonts w:hint="eastAsia"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>5＇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</w:t>
      </w:r>
      <w:r>
        <w:rPr>
          <w:rFonts w:ascii="Times New Roman" w:hAnsi="Times New Roman"/>
          <w:i/>
          <w:szCs w:val="21"/>
        </w:rPr>
        <w:t>Xho</w:t>
      </w:r>
      <w:r>
        <w:rPr>
          <w:rFonts w:hint="eastAsia" w:ascii="宋体" w:hAnsi="宋体" w:cs="宋体"/>
          <w:szCs w:val="21"/>
        </w:rPr>
        <w:t>Ⅰ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（3）卡那霉素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（4）B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（5）PCR（聚合酶链式反应，答案合理即给分）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16．（1）光合作用</w:t>
      </w:r>
      <w:r>
        <w:rPr>
          <w:rFonts w:hint="eastAsia"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>呼吸作用（以上两空可调换）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（2）有氧呼吸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（3）被抑制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不受影响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（4）AD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17．（1）—∕α</w:t>
      </w:r>
      <w:r>
        <w:rPr>
          <w:rFonts w:ascii="Times New Roman" w:hAnsi="Times New Roman"/>
          <w:szCs w:val="21"/>
          <w:vertAlign w:val="superscript"/>
        </w:rPr>
        <w:t>W</w:t>
      </w:r>
      <w:r>
        <w:rPr>
          <w:rFonts w:ascii="Times New Roman" w:hAnsi="Times New Roman"/>
          <w:szCs w:val="21"/>
        </w:rPr>
        <w:t>（或α</w:t>
      </w:r>
      <w:r>
        <w:rPr>
          <w:rFonts w:ascii="Times New Roman" w:hAnsi="Times New Roman"/>
          <w:szCs w:val="21"/>
          <w:vertAlign w:val="superscript"/>
        </w:rPr>
        <w:t>W</w:t>
      </w:r>
      <w:r>
        <w:rPr>
          <w:rFonts w:ascii="Times New Roman" w:hAnsi="Times New Roman"/>
          <w:szCs w:val="21"/>
        </w:rPr>
        <w:t>∕—）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（2）非缺失型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</w:t>
      </w:r>
      <w:r>
        <w:drawing>
          <wp:inline distT="0" distB="0" distL="0" distR="0">
            <wp:extent cx="1456690" cy="131381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hint="eastAsia" w:ascii="Times New Roman" w:hAnsi="Times New Roman"/>
          <w:szCs w:val="21"/>
        </w:rPr>
        <w:sectPr>
          <w:headerReference r:id="rId3" w:type="default"/>
          <w:footerReference r:id="rId4" w:type="default"/>
          <w:pgSz w:w="11906" w:h="16838"/>
          <w:pgMar w:top="1304" w:right="964" w:bottom="1304" w:left="964" w:header="153" w:footer="0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（4）</w:t>
      </w:r>
      <w:bookmarkStart w:id="0" w:name="_GoBack"/>
      <w:bookmarkEnd w:id="0"/>
      <w:r>
        <w:rPr>
          <w:rFonts w:ascii="Times New Roman" w:hAnsi="Times New Roman"/>
          <w:position w:val="-24"/>
          <w:szCs w:val="21"/>
        </w:rPr>
        <w:object>
          <v:shape id="_x0000_i1025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5">
            <o:LockedField>false</o:LockedField>
          </o:OLEObject>
        </w:object>
      </w:r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fci wne:fciName="DotAccent" wne:swArg="0000"/>
    </wne:keymap>
    <wne:keymap wne:kcmPrimary="0074">
      <wne:fci wne:fciName="IndentFirstLine" wne:swArg="0000"/>
    </wne:keymap>
    <wne:keymap wne:kcmPrimary="022E">
      <wne:wch wne:val="0000FF0E"/>
    </wne:keymap>
    <wne:keymap wne:kcmPrimary="0261">
      <wne:wch wne:val="0000201C"/>
    </wne:keymap>
    <wne:keymap wne:kcmPrimary="0262">
      <wne:wch wne:val="0000201D"/>
    </wne:keymap>
    <wne:keymap wne:kcmPrimary="0263">
      <wne:wch wne:val="000025CB"/>
    </wne:keymap>
    <wne:keymap wne:kcmPrimary="0264">
      <wne:wch wne:val="000025A1"/>
    </wne:keymap>
    <wne:keymap wne:kcmPrimary="0265">
      <wne:wch wne:val="00002103"/>
    </wne:keymap>
    <wne:keymap wne:kcmPrimary="0266">
      <wne:wch wne:val="00002170"/>
    </wne:keymap>
    <wne:keymap wne:kcmPrimary="0267">
      <wne:wch wne:val="00002235"/>
    </wne:keymap>
    <wne:keymap wne:kcmPrimary="0268">
      <wne:wch wne:val="00002234"/>
    </wne:keymap>
    <wne:keymap wne:kcmPrimary="0269">
      <wne:wch wne:val="00002171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6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4OTk0MDYzMjYxMTdjM2Q2NDNjMjVjZDI5MWIzMjgifQ=="/>
  </w:docVars>
  <w:rsids>
    <w:rsidRoot w:val="00A07DF2"/>
    <w:rsid w:val="00005EBC"/>
    <w:rsid w:val="000460FF"/>
    <w:rsid w:val="00054E7B"/>
    <w:rsid w:val="0006401F"/>
    <w:rsid w:val="00077A24"/>
    <w:rsid w:val="000B4463"/>
    <w:rsid w:val="000D6E81"/>
    <w:rsid w:val="000E0848"/>
    <w:rsid w:val="000E4D02"/>
    <w:rsid w:val="000E4FF1"/>
    <w:rsid w:val="000E62E3"/>
    <w:rsid w:val="001177F3"/>
    <w:rsid w:val="0012174B"/>
    <w:rsid w:val="0013285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D26C7"/>
    <w:rsid w:val="002E73E5"/>
    <w:rsid w:val="002F06B2"/>
    <w:rsid w:val="003010BD"/>
    <w:rsid w:val="003102DB"/>
    <w:rsid w:val="003625C4"/>
    <w:rsid w:val="00377248"/>
    <w:rsid w:val="003B1712"/>
    <w:rsid w:val="003C4A95"/>
    <w:rsid w:val="003D0C09"/>
    <w:rsid w:val="003E262F"/>
    <w:rsid w:val="003F3C0D"/>
    <w:rsid w:val="004062F6"/>
    <w:rsid w:val="004151FC"/>
    <w:rsid w:val="004236D9"/>
    <w:rsid w:val="00430A44"/>
    <w:rsid w:val="00435F83"/>
    <w:rsid w:val="00440E36"/>
    <w:rsid w:val="00444A46"/>
    <w:rsid w:val="00461E7B"/>
    <w:rsid w:val="0046214C"/>
    <w:rsid w:val="0049183B"/>
    <w:rsid w:val="004B44B5"/>
    <w:rsid w:val="004D44FD"/>
    <w:rsid w:val="00507309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45DC0"/>
    <w:rsid w:val="00647E2D"/>
    <w:rsid w:val="00694899"/>
    <w:rsid w:val="00696978"/>
    <w:rsid w:val="006C3148"/>
    <w:rsid w:val="006D5DE9"/>
    <w:rsid w:val="006F45E0"/>
    <w:rsid w:val="0070015E"/>
    <w:rsid w:val="00700E02"/>
    <w:rsid w:val="00701D6B"/>
    <w:rsid w:val="007061B2"/>
    <w:rsid w:val="00740A09"/>
    <w:rsid w:val="007505D0"/>
    <w:rsid w:val="00762E26"/>
    <w:rsid w:val="007C1C15"/>
    <w:rsid w:val="008028B5"/>
    <w:rsid w:val="00832BD2"/>
    <w:rsid w:val="00832EC9"/>
    <w:rsid w:val="00833A09"/>
    <w:rsid w:val="008422F1"/>
    <w:rsid w:val="008634CD"/>
    <w:rsid w:val="0086519C"/>
    <w:rsid w:val="00865CD4"/>
    <w:rsid w:val="0086617F"/>
    <w:rsid w:val="008731FA"/>
    <w:rsid w:val="00880A38"/>
    <w:rsid w:val="00893DD6"/>
    <w:rsid w:val="008C0B90"/>
    <w:rsid w:val="008D2E94"/>
    <w:rsid w:val="008D3CF9"/>
    <w:rsid w:val="009214CC"/>
    <w:rsid w:val="00974E0F"/>
    <w:rsid w:val="00982128"/>
    <w:rsid w:val="00994DD1"/>
    <w:rsid w:val="009A27BF"/>
    <w:rsid w:val="009B5666"/>
    <w:rsid w:val="009C4252"/>
    <w:rsid w:val="00A07DF2"/>
    <w:rsid w:val="00A102A7"/>
    <w:rsid w:val="00A251AD"/>
    <w:rsid w:val="00A405DB"/>
    <w:rsid w:val="00A46D54"/>
    <w:rsid w:val="00A536B0"/>
    <w:rsid w:val="00A66CBE"/>
    <w:rsid w:val="00A85D9B"/>
    <w:rsid w:val="00AB1124"/>
    <w:rsid w:val="00AB3EE3"/>
    <w:rsid w:val="00AD4827"/>
    <w:rsid w:val="00AD633B"/>
    <w:rsid w:val="00AD6B6A"/>
    <w:rsid w:val="00AD6C8D"/>
    <w:rsid w:val="00AF423E"/>
    <w:rsid w:val="00B623BE"/>
    <w:rsid w:val="00B73811"/>
    <w:rsid w:val="00B80A10"/>
    <w:rsid w:val="00B80D67"/>
    <w:rsid w:val="00B8100F"/>
    <w:rsid w:val="00B94694"/>
    <w:rsid w:val="00B96924"/>
    <w:rsid w:val="00BA4A82"/>
    <w:rsid w:val="00BB4C8B"/>
    <w:rsid w:val="00BB50C6"/>
    <w:rsid w:val="00BD74B2"/>
    <w:rsid w:val="00C02815"/>
    <w:rsid w:val="00C02FC6"/>
    <w:rsid w:val="00C321EB"/>
    <w:rsid w:val="00C53DDB"/>
    <w:rsid w:val="00C543C3"/>
    <w:rsid w:val="00C761B8"/>
    <w:rsid w:val="00CA4A07"/>
    <w:rsid w:val="00CF62B2"/>
    <w:rsid w:val="00D00173"/>
    <w:rsid w:val="00D51257"/>
    <w:rsid w:val="00D5568D"/>
    <w:rsid w:val="00D634C2"/>
    <w:rsid w:val="00D669F0"/>
    <w:rsid w:val="00D756B6"/>
    <w:rsid w:val="00D77F6E"/>
    <w:rsid w:val="00D93851"/>
    <w:rsid w:val="00DA0796"/>
    <w:rsid w:val="00DA5448"/>
    <w:rsid w:val="00DB6888"/>
    <w:rsid w:val="00DC061C"/>
    <w:rsid w:val="00DC7BD1"/>
    <w:rsid w:val="00DF071B"/>
    <w:rsid w:val="00E22C2C"/>
    <w:rsid w:val="00E63075"/>
    <w:rsid w:val="00E94852"/>
    <w:rsid w:val="00E97096"/>
    <w:rsid w:val="00EA0188"/>
    <w:rsid w:val="00EB17B4"/>
    <w:rsid w:val="00EB6917"/>
    <w:rsid w:val="00ED1550"/>
    <w:rsid w:val="00ED4F9A"/>
    <w:rsid w:val="00EE1A37"/>
    <w:rsid w:val="00EE3622"/>
    <w:rsid w:val="00F17FAA"/>
    <w:rsid w:val="00F21C80"/>
    <w:rsid w:val="00F26698"/>
    <w:rsid w:val="00F676FD"/>
    <w:rsid w:val="00F72514"/>
    <w:rsid w:val="00F97A47"/>
    <w:rsid w:val="00FA0944"/>
    <w:rsid w:val="00FA6947"/>
    <w:rsid w:val="00FB34D2"/>
    <w:rsid w:val="00FB4B17"/>
    <w:rsid w:val="00FC5860"/>
    <w:rsid w:val="00FD0BDD"/>
    <w:rsid w:val="00FD377B"/>
    <w:rsid w:val="00FF2D79"/>
    <w:rsid w:val="00FF517A"/>
    <w:rsid w:val="36FB69B6"/>
    <w:rsid w:val="38274566"/>
    <w:rsid w:val="4FC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keepNext/>
      <w:keepLines/>
      <w:adjustRightInd w:val="0"/>
      <w:spacing w:line="360" w:lineRule="atLeast"/>
      <w:textAlignment w:val="baseline"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semiHidden/>
    <w:unhideWhenUsed/>
    <w:uiPriority w:val="0"/>
    <w:pPr>
      <w:spacing w:after="12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uiPriority w:val="99"/>
    <w:rPr>
      <w:kern w:val="2"/>
      <w:sz w:val="18"/>
      <w:szCs w:val="24"/>
    </w:rPr>
  </w:style>
  <w:style w:type="paragraph" w:styleId="12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4"/>
    <w:uiPriority w:val="0"/>
    <w:rPr>
      <w:kern w:val="2"/>
      <w:sz w:val="18"/>
      <w:szCs w:val="18"/>
    </w:rPr>
  </w:style>
  <w:style w:type="character" w:customStyle="1" w:styleId="15">
    <w:name w:val="标题 3 Char"/>
    <w:basedOn w:val="9"/>
    <w:link w:val="2"/>
    <w:uiPriority w:val="9"/>
    <w:rPr>
      <w:b/>
      <w:bCs/>
      <w:kern w:val="2"/>
      <w:sz w:val="21"/>
      <w:szCs w:val="32"/>
    </w:rPr>
  </w:style>
  <w:style w:type="paragraph" w:customStyle="1" w:styleId="16">
    <w:name w:val="Compact"/>
    <w:basedOn w:val="3"/>
    <w:qFormat/>
    <w:uiPriority w:val="0"/>
    <w:pPr>
      <w:widowControl/>
      <w:adjustRightInd w:val="0"/>
      <w:spacing w:before="36" w:after="36" w:line="360" w:lineRule="atLeast"/>
      <w:textAlignment w:val="baseline"/>
    </w:pPr>
    <w:rPr>
      <w:rFonts w:ascii="Times New Roman" w:hAnsi="Times New Roman"/>
      <w:kern w:val="0"/>
      <w:lang w:eastAsia="en-US"/>
    </w:rPr>
  </w:style>
  <w:style w:type="character" w:customStyle="1" w:styleId="17">
    <w:name w:val="正文文本 Char"/>
    <w:basedOn w:val="9"/>
    <w:link w:val="3"/>
    <w:semiHidden/>
    <w:uiPriority w:val="0"/>
    <w:rPr>
      <w:kern w:val="2"/>
      <w:sz w:val="21"/>
      <w:szCs w:val="24"/>
    </w:rPr>
  </w:style>
  <w:style w:type="character" w:styleId="18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microsoft.com/office/2006/relationships/keyMapCustomizations" Target="customizations.xml"/><Relationship Id="rId17" Type="http://schemas.openxmlformats.org/officeDocument/2006/relationships/customXml" Target="../customXml/item1.xml"/><Relationship Id="rId16" Type="http://schemas.openxmlformats.org/officeDocument/2006/relationships/image" Target="media/image11.wmf"/><Relationship Id="rId15" Type="http://schemas.openxmlformats.org/officeDocument/2006/relationships/oleObject" Target="embeddings/oleObject1.bin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4544</Words>
  <Characters>5272</Characters>
  <Lines>41</Lines>
  <Paragraphs>11</Paragraphs>
  <TotalTime>65</TotalTime>
  <ScaleCrop>false</ScaleCrop>
  <LinksUpToDate>false</LinksUpToDate>
  <CharactersWithSpaces>5612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2020-02-26T09:07:00Z</dcterms:created>
  <dc:creator>琦</dc:creator>
  <cp:lastModifiedBy>吃橙子的葡萄</cp:lastModifiedBy>
  <dcterms:modified xsi:type="dcterms:W3CDTF">2023-03-14T14:11:02Z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2052-4.6.1.7467</vt:lpwstr>
  </property>
  <property fmtid="{D5CDD505-2E9C-101B-9397-08002B2CF9AE}" pid="7" name="ICV">
    <vt:lpwstr>8AB6A2B7FB9FB1B4F60F1064BA5029CE</vt:lpwstr>
  </property>
</Properties>
</file>